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37E9B0">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p>
    <w:p w14:paraId="05F63EB5">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r>
        <w:rPr>
          <w:rFonts w:hint="eastAsia" w:ascii="隶书" w:hAnsi="隶书" w:eastAsia="隶书" w:cs="隶书"/>
          <w:lang w:val="en-US" w:eastAsia="zh-CN"/>
        </w:rPr>
        <w:t>2025年我国硫酸行业生产运行情况及展望</w:t>
      </w:r>
    </w:p>
    <w:p w14:paraId="051AD0FA">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楷体" w:hAnsi="楷体" w:eastAsia="楷体" w:cs="楷体"/>
          <w:color w:val="auto"/>
          <w:sz w:val="21"/>
          <w:szCs w:val="21"/>
          <w:lang w:val="en-US" w:eastAsia="zh-CN"/>
        </w:rPr>
      </w:pPr>
      <w:r>
        <w:rPr>
          <w:rFonts w:hint="eastAsia" w:ascii="楷体" w:hAnsi="楷体" w:eastAsia="楷体" w:cs="楷体"/>
          <w:color w:val="auto"/>
          <w:sz w:val="21"/>
          <w:szCs w:val="21"/>
          <w:lang w:val="en-US" w:eastAsia="zh-CN"/>
        </w:rPr>
        <w:t>廖康程</w:t>
      </w:r>
    </w:p>
    <w:p w14:paraId="0D56FDF2">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default"/>
          <w:lang w:val="en-US"/>
        </w:rPr>
      </w:pPr>
      <w:r>
        <w:rPr>
          <w:rFonts w:hint="eastAsia" w:ascii="楷体" w:hAnsi="楷体" w:eastAsia="楷体" w:cs="楷体"/>
          <w:color w:val="auto"/>
          <w:sz w:val="21"/>
          <w:szCs w:val="21"/>
          <w:lang w:val="en-US" w:eastAsia="zh-CN"/>
        </w:rPr>
        <w:t>中国硫酸工业协会</w:t>
      </w:r>
    </w:p>
    <w:p w14:paraId="43435250">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lang w:val="en-US" w:eastAsia="zh-CN"/>
        </w:rPr>
      </w:pPr>
    </w:p>
    <w:p w14:paraId="2B3D247F">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2025年我国硫酸行业产能、产量、需求量延续增长势头。原料方面，硫黄产量增长，进口量下降，整体供应进入瓶颈；硫铁矿产量上升，还有一定开发和应用潜力；冶炼酸产能产量继续高速增长。需求方面，磷复肥、钛白粉、己内酰胺、磷酸钙盐等主要传统下游产品稳中有增；磷酸铁锂等新兴需求高速增长。未来三年，我国硫酸行业供应和需求结构都将迎来快速调整。</w:t>
      </w:r>
    </w:p>
    <w:p w14:paraId="18BF67ED">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0" w:name="_Toc230102019"/>
      <w:r>
        <w:rPr>
          <w:rFonts w:hint="eastAsia" w:ascii="宋体" w:hAnsi="宋体" w:eastAsia="宋体" w:cs="宋体"/>
          <w:b/>
          <w:bCs/>
          <w:sz w:val="21"/>
          <w:szCs w:val="21"/>
          <w:lang w:val="en-US" w:eastAsia="zh-CN"/>
        </w:rPr>
        <w:t>一、硫酸产能</w:t>
      </w:r>
      <w:bookmarkEnd w:id="0"/>
    </w:p>
    <w:p w14:paraId="02FDEC7F">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1" w:name="_Toc230102020"/>
      <w:r>
        <w:rPr>
          <w:rFonts w:hint="eastAsia" w:ascii="宋体" w:hAnsi="宋体" w:eastAsia="宋体" w:cs="宋体"/>
          <w:b/>
          <w:bCs/>
          <w:sz w:val="21"/>
          <w:szCs w:val="21"/>
          <w:lang w:val="en-US" w:eastAsia="zh-CN"/>
        </w:rPr>
        <w:t>1.总产能</w:t>
      </w:r>
      <w:bookmarkEnd w:id="1"/>
    </w:p>
    <w:p w14:paraId="7F859CEF">
      <w:pPr>
        <w:jc w:val="center"/>
        <w:rPr>
          <w:rFonts w:ascii="黑体" w:hAnsi="黑体" w:eastAsia="黑体"/>
          <w:b/>
        </w:rPr>
      </w:pPr>
      <w:r>
        <w:drawing>
          <wp:inline distT="0" distB="0" distL="114300" distR="114300">
            <wp:extent cx="3935730" cy="2047875"/>
            <wp:effectExtent l="0" t="0" r="7620" b="9525"/>
            <wp:docPr id="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
                    <pic:cNvPicPr>
                      <a:picLocks noChangeAspect="1"/>
                    </pic:cNvPicPr>
                  </pic:nvPicPr>
                  <pic:blipFill>
                    <a:blip r:embed="rId4"/>
                    <a:srcRect t="8914"/>
                    <a:stretch>
                      <a:fillRect/>
                    </a:stretch>
                  </pic:blipFill>
                  <pic:spPr>
                    <a:xfrm>
                      <a:off x="0" y="0"/>
                      <a:ext cx="3935730" cy="2047875"/>
                    </a:xfrm>
                    <a:prstGeom prst="rect">
                      <a:avLst/>
                    </a:prstGeom>
                    <a:noFill/>
                    <a:ln>
                      <a:noFill/>
                    </a:ln>
                  </pic:spPr>
                </pic:pic>
              </a:graphicData>
            </a:graphic>
          </wp:inline>
        </w:drawing>
      </w:r>
    </w:p>
    <w:p w14:paraId="6D8DE9B9">
      <w:pPr>
        <w:pageBreakBefore w:val="0"/>
        <w:kinsoku/>
        <w:wordWrap/>
        <w:overflowPunct/>
        <w:topLinePunct w:val="0"/>
        <w:autoSpaceDE/>
        <w:autoSpaceDN/>
        <w:bidi w:val="0"/>
        <w:spacing w:line="400" w:lineRule="exact"/>
        <w:jc w:val="center"/>
        <w:textAlignment w:val="auto"/>
        <w:rPr>
          <w:rFonts w:hint="eastAsia" w:ascii="宋体" w:hAnsi="宋体" w:eastAsia="宋体" w:cs="宋体"/>
          <w:b/>
          <w:sz w:val="21"/>
          <w:szCs w:val="21"/>
        </w:rPr>
      </w:pPr>
      <w:r>
        <w:rPr>
          <w:rFonts w:hint="eastAsia" w:ascii="宋体" w:hAnsi="宋体" w:eastAsia="宋体" w:cs="宋体"/>
          <w:b/>
          <w:sz w:val="21"/>
          <w:szCs w:val="21"/>
        </w:rPr>
        <w:t>图</w:t>
      </w:r>
      <w:r>
        <w:rPr>
          <w:rFonts w:hint="eastAsia" w:ascii="宋体" w:hAnsi="宋体" w:eastAsia="宋体" w:cs="宋体"/>
          <w:b/>
          <w:sz w:val="21"/>
          <w:szCs w:val="21"/>
          <w:lang w:val="en-US" w:eastAsia="zh-CN"/>
        </w:rPr>
        <w:t>1</w:t>
      </w:r>
      <w:r>
        <w:rPr>
          <w:rFonts w:hint="eastAsia" w:ascii="宋体" w:hAnsi="宋体" w:eastAsia="宋体" w:cs="宋体"/>
          <w:b/>
          <w:sz w:val="21"/>
          <w:szCs w:val="21"/>
        </w:rPr>
        <w:t xml:space="preserve"> 2020-2025年我国硫酸产能及产能结构</w:t>
      </w:r>
    </w:p>
    <w:p w14:paraId="6031C44C">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据中国硫酸工业协会（以下简称协会）统计，截至2025年底，我国硫酸总产能1.546亿吨，同比上升9.2%。其中硫黄制酸产能6698万吨，同比上升9.1%；冶炼酸产能5865万吨，同比上升9.1%；硫铁矿制酸产能2622万吨，同比上升7.6%；其他制酸产能275万吨，同比上升29.9%。</w:t>
      </w:r>
    </w:p>
    <w:p w14:paraId="437D0763">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2" w:name="_Toc230102021"/>
      <w:r>
        <w:rPr>
          <w:rFonts w:hint="eastAsia" w:ascii="宋体" w:hAnsi="宋体" w:eastAsia="宋体" w:cs="宋体"/>
          <w:b/>
          <w:bCs/>
          <w:sz w:val="21"/>
          <w:szCs w:val="21"/>
          <w:lang w:val="en-US" w:eastAsia="zh-CN"/>
        </w:rPr>
        <w:t>2.产能结构</w:t>
      </w:r>
      <w:bookmarkEnd w:id="2"/>
    </w:p>
    <w:p w14:paraId="1E233800">
      <w:pPr>
        <w:jc w:val="center"/>
        <w:rPr>
          <w:rFonts w:hint="eastAsia"/>
        </w:rPr>
      </w:pPr>
      <w:r>
        <w:drawing>
          <wp:inline distT="0" distB="0" distL="114300" distR="114300">
            <wp:extent cx="3629025" cy="1718945"/>
            <wp:effectExtent l="0" t="0" r="9525" b="1460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a:srcRect t="9216" b="10384"/>
                    <a:stretch>
                      <a:fillRect/>
                    </a:stretch>
                  </pic:blipFill>
                  <pic:spPr>
                    <a:xfrm>
                      <a:off x="0" y="0"/>
                      <a:ext cx="3629025" cy="1718945"/>
                    </a:xfrm>
                    <a:prstGeom prst="rect">
                      <a:avLst/>
                    </a:prstGeom>
                    <a:noFill/>
                    <a:ln>
                      <a:noFill/>
                    </a:ln>
                  </pic:spPr>
                </pic:pic>
              </a:graphicData>
            </a:graphic>
          </wp:inline>
        </w:drawing>
      </w:r>
    </w:p>
    <w:p w14:paraId="7293B570">
      <w:pPr>
        <w:pageBreakBefore w:val="0"/>
        <w:kinsoku/>
        <w:wordWrap/>
        <w:overflowPunct/>
        <w:topLinePunct w:val="0"/>
        <w:autoSpaceDE/>
        <w:autoSpaceDN/>
        <w:bidi w:val="0"/>
        <w:spacing w:line="400" w:lineRule="exact"/>
        <w:jc w:val="center"/>
        <w:textAlignment w:val="auto"/>
        <w:rPr>
          <w:rFonts w:hint="eastAsia" w:ascii="宋体" w:hAnsi="宋体" w:eastAsia="宋体" w:cs="宋体"/>
          <w:b/>
          <w:sz w:val="21"/>
          <w:szCs w:val="21"/>
        </w:rPr>
      </w:pPr>
      <w:r>
        <w:rPr>
          <w:rFonts w:hint="eastAsia" w:ascii="宋体" w:hAnsi="宋体" w:eastAsia="宋体" w:cs="宋体"/>
          <w:b/>
          <w:sz w:val="21"/>
          <w:szCs w:val="21"/>
        </w:rPr>
        <w:t>图</w:t>
      </w:r>
      <w:r>
        <w:rPr>
          <w:rFonts w:hint="eastAsia" w:ascii="宋体" w:hAnsi="宋体" w:eastAsia="宋体" w:cs="宋体"/>
          <w:b/>
          <w:sz w:val="21"/>
          <w:szCs w:val="21"/>
          <w:lang w:val="en-US" w:eastAsia="zh-CN"/>
        </w:rPr>
        <w:t>2</w:t>
      </w:r>
      <w:r>
        <w:rPr>
          <w:rFonts w:hint="eastAsia" w:ascii="宋体" w:hAnsi="宋体" w:eastAsia="宋体" w:cs="宋体"/>
          <w:b/>
          <w:sz w:val="21"/>
          <w:szCs w:val="21"/>
        </w:rPr>
        <w:t xml:space="preserve"> 2025年我国硫酸产能结构</w:t>
      </w:r>
    </w:p>
    <w:p w14:paraId="495B8972">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据协会统计，2025年，硫黄制酸产能占硫酸总产能比例为43.3%，同比下降0.1个百分点；冶炼酸占比37.9%，同比持平；硫铁矿制酸占比17.0%，同比下降0.2个百分点；其他制酸占比1.8%，同比上升0.3个百分点。</w:t>
      </w:r>
    </w:p>
    <w:p w14:paraId="0AC729E4">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3" w:name="_Toc230102022"/>
      <w:r>
        <w:rPr>
          <w:rFonts w:hint="eastAsia" w:ascii="宋体" w:hAnsi="宋体" w:eastAsia="宋体" w:cs="宋体"/>
          <w:b/>
          <w:bCs/>
          <w:sz w:val="21"/>
          <w:szCs w:val="21"/>
          <w:lang w:val="en-US" w:eastAsia="zh-CN"/>
        </w:rPr>
        <w:t>3.产能分布</w:t>
      </w:r>
      <w:bookmarkEnd w:id="3"/>
    </w:p>
    <w:p w14:paraId="65760F2C">
      <w:pPr>
        <w:adjustRightInd w:val="0"/>
        <w:jc w:val="center"/>
        <w:rPr>
          <w:rFonts w:ascii="黑体" w:hAnsi="黑体" w:eastAsia="黑体"/>
          <w:b/>
        </w:rPr>
      </w:pPr>
      <w:r>
        <w:drawing>
          <wp:inline distT="0" distB="0" distL="114300" distR="114300">
            <wp:extent cx="3259455" cy="2703830"/>
            <wp:effectExtent l="0" t="0" r="17145" b="127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6"/>
                    <a:stretch>
                      <a:fillRect/>
                    </a:stretch>
                  </pic:blipFill>
                  <pic:spPr>
                    <a:xfrm>
                      <a:off x="0" y="0"/>
                      <a:ext cx="3259455" cy="2703830"/>
                    </a:xfrm>
                    <a:prstGeom prst="rect">
                      <a:avLst/>
                    </a:prstGeom>
                    <a:solidFill>
                      <a:srgbClr val="FFFFFF"/>
                    </a:solidFill>
                    <a:ln>
                      <a:noFill/>
                    </a:ln>
                  </pic:spPr>
                </pic:pic>
              </a:graphicData>
            </a:graphic>
          </wp:inline>
        </w:drawing>
      </w:r>
    </w:p>
    <w:p w14:paraId="130EB7A8">
      <w:pPr>
        <w:pageBreakBefore w:val="0"/>
        <w:kinsoku/>
        <w:wordWrap/>
        <w:overflowPunct/>
        <w:topLinePunct w:val="0"/>
        <w:autoSpaceDE/>
        <w:autoSpaceDN/>
        <w:bidi w:val="0"/>
        <w:spacing w:line="400" w:lineRule="exact"/>
        <w:jc w:val="center"/>
        <w:textAlignment w:val="auto"/>
        <w:rPr>
          <w:rFonts w:hint="eastAsia" w:ascii="宋体" w:hAnsi="宋体" w:eastAsia="宋体" w:cs="宋体"/>
          <w:b/>
          <w:sz w:val="21"/>
          <w:szCs w:val="21"/>
        </w:rPr>
      </w:pPr>
      <w:r>
        <w:rPr>
          <w:rFonts w:hint="eastAsia" w:ascii="宋体" w:hAnsi="宋体" w:eastAsia="宋体" w:cs="宋体"/>
          <w:b/>
          <w:sz w:val="21"/>
          <w:szCs w:val="21"/>
        </w:rPr>
        <w:t>图</w:t>
      </w:r>
      <w:r>
        <w:rPr>
          <w:rFonts w:hint="eastAsia" w:ascii="宋体" w:hAnsi="宋体" w:eastAsia="宋体" w:cs="宋体"/>
          <w:b/>
          <w:sz w:val="21"/>
          <w:szCs w:val="21"/>
          <w:lang w:val="en-US" w:eastAsia="zh-CN"/>
        </w:rPr>
        <w:t>3</w:t>
      </w:r>
      <w:r>
        <w:rPr>
          <w:rFonts w:hint="eastAsia" w:ascii="宋体" w:hAnsi="宋体" w:eastAsia="宋体" w:cs="宋体"/>
          <w:b/>
          <w:sz w:val="21"/>
          <w:szCs w:val="21"/>
        </w:rPr>
        <w:t xml:space="preserve"> 2025年我国硫酸产能分布</w:t>
      </w:r>
    </w:p>
    <w:p w14:paraId="5E98CA10">
      <w:pPr>
        <w:ind w:firstLine="420" w:firstLineChars="200"/>
        <w:jc w:val="both"/>
        <w:rPr>
          <w:rFonts w:hint="eastAsia" w:ascii="宋体" w:hAnsi="宋体" w:eastAsia="宋体" w:cs="宋体"/>
          <w:lang w:val="en-US" w:eastAsia="zh-CN"/>
        </w:rPr>
      </w:pPr>
      <w:r>
        <w:rPr>
          <w:rFonts w:hint="eastAsia"/>
        </w:rPr>
        <w:t>据</w:t>
      </w:r>
      <w:r>
        <w:rPr>
          <w:rFonts w:hint="eastAsia" w:ascii="宋体" w:hAnsi="宋体" w:eastAsia="宋体" w:cs="宋体"/>
          <w:lang w:val="en-US" w:eastAsia="zh-CN"/>
        </w:rPr>
        <w:t>协会统计，我国硫酸产能主要分布在云贵川鄂四个磷资源省份，以及山东、江苏这些化工大省，以及安徽、内蒙古、广西这样的冶炼产能大省。</w:t>
      </w:r>
    </w:p>
    <w:p w14:paraId="00C0F38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sz w:val="21"/>
          <w:szCs w:val="21"/>
        </w:rPr>
      </w:pPr>
      <w:r>
        <w:rPr>
          <w:rFonts w:hint="eastAsia" w:ascii="宋体" w:hAnsi="宋体" w:eastAsia="宋体" w:cs="宋体"/>
          <w:b/>
          <w:sz w:val="21"/>
          <w:szCs w:val="21"/>
        </w:rPr>
        <w:t>表</w:t>
      </w:r>
      <w:r>
        <w:rPr>
          <w:rFonts w:hint="eastAsia" w:ascii="宋体" w:hAnsi="宋体" w:eastAsia="宋体" w:cs="宋体"/>
          <w:b/>
          <w:sz w:val="21"/>
          <w:szCs w:val="21"/>
          <w:lang w:val="en-US" w:eastAsia="zh-CN"/>
        </w:rPr>
        <w:t>1</w:t>
      </w:r>
      <w:r>
        <w:rPr>
          <w:rFonts w:hint="eastAsia" w:ascii="宋体" w:hAnsi="宋体" w:eastAsia="宋体" w:cs="宋体"/>
          <w:b/>
          <w:sz w:val="21"/>
          <w:szCs w:val="21"/>
        </w:rPr>
        <w:t xml:space="preserve"> 2025年我国各地区硫酸产能</w:t>
      </w:r>
    </w:p>
    <w:tbl>
      <w:tblPr>
        <w:tblStyle w:val="17"/>
        <w:tblW w:w="0" w:type="auto"/>
        <w:tblInd w:w="0" w:type="dxa"/>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2139"/>
        <w:gridCol w:w="2127"/>
        <w:gridCol w:w="2128"/>
        <w:gridCol w:w="2128"/>
      </w:tblGrid>
      <w:tr w14:paraId="7687E9B0">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595" w:hRule="exact"/>
        </w:trPr>
        <w:tc>
          <w:tcPr>
            <w:tcW w:w="2139" w:type="dxa"/>
            <w:noWrap w:val="0"/>
            <w:vAlign w:val="center"/>
          </w:tcPr>
          <w:p w14:paraId="25AEB0D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sz w:val="18"/>
                <w:szCs w:val="18"/>
              </w:rPr>
            </w:pPr>
          </w:p>
        </w:tc>
        <w:tc>
          <w:tcPr>
            <w:tcW w:w="2127" w:type="dxa"/>
            <w:noWrap w:val="0"/>
            <w:vAlign w:val="center"/>
          </w:tcPr>
          <w:p w14:paraId="2D57E6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sz w:val="18"/>
                <w:szCs w:val="18"/>
              </w:rPr>
            </w:pPr>
            <w:r>
              <w:rPr>
                <w:rFonts w:hint="eastAsia" w:ascii="宋体" w:hAnsi="宋体" w:eastAsia="宋体" w:cs="宋体"/>
                <w:b/>
                <w:sz w:val="18"/>
                <w:szCs w:val="18"/>
              </w:rPr>
              <w:t>产能（万吨）</w:t>
            </w:r>
          </w:p>
        </w:tc>
        <w:tc>
          <w:tcPr>
            <w:tcW w:w="2128" w:type="dxa"/>
            <w:noWrap w:val="0"/>
            <w:vAlign w:val="center"/>
          </w:tcPr>
          <w:p w14:paraId="616EC1D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sz w:val="18"/>
                <w:szCs w:val="18"/>
              </w:rPr>
            </w:pPr>
            <w:r>
              <w:rPr>
                <w:rFonts w:hint="eastAsia" w:ascii="宋体" w:hAnsi="宋体" w:eastAsia="宋体" w:cs="宋体"/>
                <w:b/>
                <w:sz w:val="18"/>
                <w:szCs w:val="18"/>
              </w:rPr>
              <w:t>同比（%）</w:t>
            </w:r>
          </w:p>
        </w:tc>
        <w:tc>
          <w:tcPr>
            <w:tcW w:w="2128" w:type="dxa"/>
            <w:noWrap w:val="0"/>
            <w:vAlign w:val="center"/>
          </w:tcPr>
          <w:p w14:paraId="73CF9BE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sz w:val="18"/>
                <w:szCs w:val="18"/>
              </w:rPr>
            </w:pPr>
            <w:r>
              <w:rPr>
                <w:rFonts w:hint="eastAsia" w:ascii="宋体" w:hAnsi="宋体" w:eastAsia="宋体" w:cs="宋体"/>
                <w:b/>
                <w:sz w:val="18"/>
                <w:szCs w:val="18"/>
              </w:rPr>
              <w:t>占比（%）</w:t>
            </w:r>
          </w:p>
        </w:tc>
      </w:tr>
      <w:tr w14:paraId="55110051">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680" w:hRule="exact"/>
        </w:trPr>
        <w:tc>
          <w:tcPr>
            <w:tcW w:w="2139" w:type="dxa"/>
            <w:noWrap w:val="0"/>
            <w:vAlign w:val="center"/>
          </w:tcPr>
          <w:p w14:paraId="21C7776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18"/>
                <w:szCs w:val="18"/>
              </w:rPr>
            </w:pPr>
            <w:r>
              <w:rPr>
                <w:rFonts w:hint="eastAsia" w:ascii="宋体" w:hAnsi="宋体" w:eastAsia="宋体" w:cs="宋体"/>
                <w:b/>
                <w:bCs/>
                <w:sz w:val="18"/>
                <w:szCs w:val="18"/>
              </w:rPr>
              <w:t>东北</w:t>
            </w:r>
          </w:p>
        </w:tc>
        <w:tc>
          <w:tcPr>
            <w:tcW w:w="2127" w:type="dxa"/>
            <w:noWrap w:val="0"/>
            <w:vAlign w:val="center"/>
          </w:tcPr>
          <w:p w14:paraId="7F2908F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rPr>
            </w:pPr>
            <w:r>
              <w:rPr>
                <w:rFonts w:hint="eastAsia" w:ascii="宋体" w:hAnsi="宋体" w:eastAsia="宋体" w:cs="宋体"/>
                <w:sz w:val="18"/>
                <w:szCs w:val="18"/>
              </w:rPr>
              <w:t>274.8</w:t>
            </w:r>
          </w:p>
        </w:tc>
        <w:tc>
          <w:tcPr>
            <w:tcW w:w="2128" w:type="dxa"/>
            <w:noWrap w:val="0"/>
            <w:vAlign w:val="center"/>
          </w:tcPr>
          <w:p w14:paraId="0518939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rPr>
            </w:pPr>
            <w:r>
              <w:rPr>
                <w:rFonts w:hint="eastAsia" w:ascii="宋体" w:hAnsi="宋体" w:eastAsia="宋体" w:cs="宋体"/>
                <w:sz w:val="18"/>
                <w:szCs w:val="18"/>
              </w:rPr>
              <w:t>0.0</w:t>
            </w:r>
          </w:p>
        </w:tc>
        <w:tc>
          <w:tcPr>
            <w:tcW w:w="2128" w:type="dxa"/>
            <w:noWrap w:val="0"/>
            <w:vAlign w:val="center"/>
          </w:tcPr>
          <w:p w14:paraId="1DA3B3C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rPr>
            </w:pPr>
            <w:r>
              <w:rPr>
                <w:rFonts w:hint="eastAsia" w:ascii="宋体" w:hAnsi="宋体" w:eastAsia="宋体" w:cs="宋体"/>
                <w:sz w:val="18"/>
                <w:szCs w:val="18"/>
              </w:rPr>
              <w:t>1.8</w:t>
            </w:r>
          </w:p>
        </w:tc>
      </w:tr>
      <w:tr w14:paraId="1AEFEA00">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595" w:hRule="exact"/>
        </w:trPr>
        <w:tc>
          <w:tcPr>
            <w:tcW w:w="2139" w:type="dxa"/>
            <w:noWrap w:val="0"/>
            <w:vAlign w:val="center"/>
          </w:tcPr>
          <w:p w14:paraId="29D575A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18"/>
                <w:szCs w:val="18"/>
              </w:rPr>
            </w:pPr>
            <w:r>
              <w:rPr>
                <w:rFonts w:hint="eastAsia" w:ascii="宋体" w:hAnsi="宋体" w:eastAsia="宋体" w:cs="宋体"/>
                <w:b/>
                <w:bCs/>
                <w:sz w:val="18"/>
                <w:szCs w:val="18"/>
              </w:rPr>
              <w:t>华北</w:t>
            </w:r>
          </w:p>
        </w:tc>
        <w:tc>
          <w:tcPr>
            <w:tcW w:w="2127" w:type="dxa"/>
            <w:noWrap w:val="0"/>
            <w:vAlign w:val="center"/>
          </w:tcPr>
          <w:p w14:paraId="0F6A378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rPr>
            </w:pPr>
            <w:r>
              <w:rPr>
                <w:rFonts w:hint="eastAsia" w:ascii="宋体" w:hAnsi="宋体" w:eastAsia="宋体" w:cs="宋体"/>
                <w:sz w:val="18"/>
                <w:szCs w:val="18"/>
              </w:rPr>
              <w:t>1155.5</w:t>
            </w:r>
          </w:p>
        </w:tc>
        <w:tc>
          <w:tcPr>
            <w:tcW w:w="2128" w:type="dxa"/>
            <w:noWrap w:val="0"/>
            <w:vAlign w:val="center"/>
          </w:tcPr>
          <w:p w14:paraId="2D733D7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rPr>
            </w:pPr>
            <w:r>
              <w:rPr>
                <w:rFonts w:hint="eastAsia" w:ascii="宋体" w:hAnsi="宋体" w:eastAsia="宋体" w:cs="宋体"/>
                <w:sz w:val="18"/>
                <w:szCs w:val="18"/>
              </w:rPr>
              <w:t>13.5</w:t>
            </w:r>
          </w:p>
        </w:tc>
        <w:tc>
          <w:tcPr>
            <w:tcW w:w="2128" w:type="dxa"/>
            <w:noWrap w:val="0"/>
            <w:vAlign w:val="center"/>
          </w:tcPr>
          <w:p w14:paraId="64CD249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rPr>
            </w:pPr>
            <w:r>
              <w:rPr>
                <w:rFonts w:hint="eastAsia" w:ascii="宋体" w:hAnsi="宋体" w:eastAsia="宋体" w:cs="宋体"/>
                <w:sz w:val="18"/>
                <w:szCs w:val="18"/>
              </w:rPr>
              <w:t>7.5</w:t>
            </w:r>
          </w:p>
        </w:tc>
      </w:tr>
      <w:tr w14:paraId="1A65C554">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595" w:hRule="exact"/>
        </w:trPr>
        <w:tc>
          <w:tcPr>
            <w:tcW w:w="2139" w:type="dxa"/>
            <w:noWrap w:val="0"/>
            <w:vAlign w:val="center"/>
          </w:tcPr>
          <w:p w14:paraId="5D80FBB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18"/>
                <w:szCs w:val="18"/>
              </w:rPr>
            </w:pPr>
            <w:r>
              <w:rPr>
                <w:rFonts w:hint="eastAsia" w:ascii="宋体" w:hAnsi="宋体" w:eastAsia="宋体" w:cs="宋体"/>
                <w:b/>
                <w:bCs/>
                <w:sz w:val="18"/>
                <w:szCs w:val="18"/>
              </w:rPr>
              <w:t>华东</w:t>
            </w:r>
          </w:p>
        </w:tc>
        <w:tc>
          <w:tcPr>
            <w:tcW w:w="2127" w:type="dxa"/>
            <w:noWrap w:val="0"/>
            <w:vAlign w:val="center"/>
          </w:tcPr>
          <w:p w14:paraId="207F4C3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rPr>
            </w:pPr>
            <w:r>
              <w:rPr>
                <w:rFonts w:hint="eastAsia" w:ascii="宋体" w:hAnsi="宋体" w:eastAsia="宋体" w:cs="宋体"/>
                <w:sz w:val="18"/>
                <w:szCs w:val="18"/>
              </w:rPr>
              <w:t>3963.6</w:t>
            </w:r>
          </w:p>
        </w:tc>
        <w:tc>
          <w:tcPr>
            <w:tcW w:w="2128" w:type="dxa"/>
            <w:noWrap w:val="0"/>
            <w:vAlign w:val="center"/>
          </w:tcPr>
          <w:p w14:paraId="77D5E13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rPr>
            </w:pPr>
            <w:r>
              <w:rPr>
                <w:rFonts w:hint="eastAsia" w:ascii="宋体" w:hAnsi="宋体" w:eastAsia="宋体" w:cs="宋体"/>
                <w:sz w:val="18"/>
                <w:szCs w:val="18"/>
              </w:rPr>
              <w:t>8.2</w:t>
            </w:r>
          </w:p>
        </w:tc>
        <w:tc>
          <w:tcPr>
            <w:tcW w:w="2128" w:type="dxa"/>
            <w:noWrap w:val="0"/>
            <w:vAlign w:val="center"/>
          </w:tcPr>
          <w:p w14:paraId="43476E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rPr>
            </w:pPr>
            <w:r>
              <w:rPr>
                <w:rFonts w:hint="eastAsia" w:ascii="宋体" w:hAnsi="宋体" w:eastAsia="宋体" w:cs="宋体"/>
                <w:sz w:val="18"/>
                <w:szCs w:val="18"/>
              </w:rPr>
              <w:t>25.6</w:t>
            </w:r>
          </w:p>
        </w:tc>
      </w:tr>
      <w:tr w14:paraId="7412A196">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595" w:hRule="exact"/>
        </w:trPr>
        <w:tc>
          <w:tcPr>
            <w:tcW w:w="2139" w:type="dxa"/>
            <w:noWrap w:val="0"/>
            <w:vAlign w:val="center"/>
          </w:tcPr>
          <w:p w14:paraId="3FE3160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18"/>
                <w:szCs w:val="18"/>
              </w:rPr>
            </w:pPr>
            <w:r>
              <w:rPr>
                <w:rFonts w:hint="eastAsia" w:ascii="宋体" w:hAnsi="宋体" w:eastAsia="宋体" w:cs="宋体"/>
                <w:b/>
                <w:bCs/>
                <w:sz w:val="18"/>
                <w:szCs w:val="18"/>
              </w:rPr>
              <w:t>华中</w:t>
            </w:r>
          </w:p>
        </w:tc>
        <w:tc>
          <w:tcPr>
            <w:tcW w:w="2127" w:type="dxa"/>
            <w:noWrap w:val="0"/>
            <w:vAlign w:val="center"/>
          </w:tcPr>
          <w:p w14:paraId="139F73C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rPr>
            </w:pPr>
            <w:r>
              <w:rPr>
                <w:rFonts w:hint="eastAsia" w:ascii="宋体" w:hAnsi="宋体" w:eastAsia="宋体" w:cs="宋体"/>
                <w:sz w:val="18"/>
                <w:szCs w:val="18"/>
              </w:rPr>
              <w:t>3838.9</w:t>
            </w:r>
          </w:p>
        </w:tc>
        <w:tc>
          <w:tcPr>
            <w:tcW w:w="2128" w:type="dxa"/>
            <w:noWrap w:val="0"/>
            <w:vAlign w:val="center"/>
          </w:tcPr>
          <w:p w14:paraId="5F612B8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rPr>
            </w:pPr>
            <w:r>
              <w:rPr>
                <w:rFonts w:hint="eastAsia" w:ascii="宋体" w:hAnsi="宋体" w:eastAsia="宋体" w:cs="宋体"/>
                <w:sz w:val="18"/>
                <w:szCs w:val="18"/>
              </w:rPr>
              <w:t>13.9</w:t>
            </w:r>
          </w:p>
        </w:tc>
        <w:tc>
          <w:tcPr>
            <w:tcW w:w="2128" w:type="dxa"/>
            <w:noWrap w:val="0"/>
            <w:vAlign w:val="center"/>
          </w:tcPr>
          <w:p w14:paraId="5DB96A5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rPr>
            </w:pPr>
            <w:r>
              <w:rPr>
                <w:rFonts w:hint="eastAsia" w:ascii="宋体" w:hAnsi="宋体" w:eastAsia="宋体" w:cs="宋体"/>
                <w:sz w:val="18"/>
                <w:szCs w:val="18"/>
              </w:rPr>
              <w:t>24.8</w:t>
            </w:r>
          </w:p>
        </w:tc>
      </w:tr>
      <w:tr w14:paraId="1BFC2AF3">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595" w:hRule="exact"/>
        </w:trPr>
        <w:tc>
          <w:tcPr>
            <w:tcW w:w="2139" w:type="dxa"/>
            <w:noWrap w:val="0"/>
            <w:vAlign w:val="center"/>
          </w:tcPr>
          <w:p w14:paraId="55EED10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18"/>
                <w:szCs w:val="18"/>
              </w:rPr>
            </w:pPr>
            <w:r>
              <w:rPr>
                <w:rFonts w:hint="eastAsia" w:ascii="宋体" w:hAnsi="宋体" w:eastAsia="宋体" w:cs="宋体"/>
                <w:b/>
                <w:bCs/>
                <w:sz w:val="18"/>
                <w:szCs w:val="18"/>
              </w:rPr>
              <w:t>华南</w:t>
            </w:r>
          </w:p>
        </w:tc>
        <w:tc>
          <w:tcPr>
            <w:tcW w:w="2127" w:type="dxa"/>
            <w:noWrap w:val="0"/>
            <w:vAlign w:val="center"/>
          </w:tcPr>
          <w:p w14:paraId="76F0280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rPr>
            </w:pPr>
            <w:r>
              <w:rPr>
                <w:rFonts w:hint="eastAsia" w:ascii="宋体" w:hAnsi="宋体" w:eastAsia="宋体" w:cs="宋体"/>
                <w:sz w:val="18"/>
                <w:szCs w:val="18"/>
              </w:rPr>
              <w:t>1155.0</w:t>
            </w:r>
          </w:p>
        </w:tc>
        <w:tc>
          <w:tcPr>
            <w:tcW w:w="2128" w:type="dxa"/>
            <w:noWrap w:val="0"/>
            <w:vAlign w:val="center"/>
          </w:tcPr>
          <w:p w14:paraId="16D7B93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rPr>
            </w:pPr>
            <w:r>
              <w:rPr>
                <w:rFonts w:hint="eastAsia" w:ascii="宋体" w:hAnsi="宋体" w:eastAsia="宋体" w:cs="宋体"/>
                <w:sz w:val="18"/>
                <w:szCs w:val="18"/>
              </w:rPr>
              <w:t>18.5</w:t>
            </w:r>
          </w:p>
        </w:tc>
        <w:tc>
          <w:tcPr>
            <w:tcW w:w="2128" w:type="dxa"/>
            <w:noWrap w:val="0"/>
            <w:vAlign w:val="center"/>
          </w:tcPr>
          <w:p w14:paraId="0B9D2F0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rPr>
            </w:pPr>
            <w:r>
              <w:rPr>
                <w:rFonts w:hint="eastAsia" w:ascii="宋体" w:hAnsi="宋体" w:eastAsia="宋体" w:cs="宋体"/>
                <w:sz w:val="18"/>
                <w:szCs w:val="18"/>
              </w:rPr>
              <w:t>7.5</w:t>
            </w:r>
          </w:p>
        </w:tc>
      </w:tr>
      <w:tr w14:paraId="704EE7C2">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595" w:hRule="exact"/>
        </w:trPr>
        <w:tc>
          <w:tcPr>
            <w:tcW w:w="2139" w:type="dxa"/>
            <w:noWrap w:val="0"/>
            <w:vAlign w:val="center"/>
          </w:tcPr>
          <w:p w14:paraId="6D8D7BD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18"/>
                <w:szCs w:val="18"/>
              </w:rPr>
            </w:pPr>
            <w:r>
              <w:rPr>
                <w:rFonts w:hint="eastAsia" w:ascii="宋体" w:hAnsi="宋体" w:eastAsia="宋体" w:cs="宋体"/>
                <w:b/>
                <w:bCs/>
                <w:sz w:val="18"/>
                <w:szCs w:val="18"/>
              </w:rPr>
              <w:t>西南</w:t>
            </w:r>
          </w:p>
        </w:tc>
        <w:tc>
          <w:tcPr>
            <w:tcW w:w="2127" w:type="dxa"/>
            <w:noWrap w:val="0"/>
            <w:vAlign w:val="center"/>
          </w:tcPr>
          <w:p w14:paraId="1D0AF5C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rPr>
            </w:pPr>
            <w:r>
              <w:rPr>
                <w:rFonts w:hint="eastAsia" w:ascii="宋体" w:hAnsi="宋体" w:eastAsia="宋体" w:cs="宋体"/>
                <w:sz w:val="18"/>
                <w:szCs w:val="18"/>
              </w:rPr>
              <w:t>4001.4</w:t>
            </w:r>
          </w:p>
        </w:tc>
        <w:tc>
          <w:tcPr>
            <w:tcW w:w="2128" w:type="dxa"/>
            <w:noWrap w:val="0"/>
            <w:vAlign w:val="center"/>
          </w:tcPr>
          <w:p w14:paraId="6BC5B85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rPr>
            </w:pPr>
            <w:r>
              <w:rPr>
                <w:rFonts w:hint="eastAsia" w:ascii="宋体" w:hAnsi="宋体" w:eastAsia="宋体" w:cs="宋体"/>
                <w:sz w:val="18"/>
                <w:szCs w:val="18"/>
              </w:rPr>
              <w:t>4.9</w:t>
            </w:r>
          </w:p>
        </w:tc>
        <w:tc>
          <w:tcPr>
            <w:tcW w:w="2128" w:type="dxa"/>
            <w:noWrap w:val="0"/>
            <w:vAlign w:val="center"/>
          </w:tcPr>
          <w:p w14:paraId="29368B1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rPr>
            </w:pPr>
            <w:r>
              <w:rPr>
                <w:rFonts w:hint="eastAsia" w:ascii="宋体" w:hAnsi="宋体" w:eastAsia="宋体" w:cs="宋体"/>
                <w:sz w:val="18"/>
                <w:szCs w:val="18"/>
              </w:rPr>
              <w:t>25.9</w:t>
            </w:r>
          </w:p>
        </w:tc>
      </w:tr>
      <w:tr w14:paraId="08E9485B">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595" w:hRule="exact"/>
        </w:trPr>
        <w:tc>
          <w:tcPr>
            <w:tcW w:w="2139" w:type="dxa"/>
            <w:noWrap w:val="0"/>
            <w:vAlign w:val="center"/>
          </w:tcPr>
          <w:p w14:paraId="177AD1A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18"/>
                <w:szCs w:val="18"/>
              </w:rPr>
            </w:pPr>
            <w:r>
              <w:rPr>
                <w:rFonts w:hint="eastAsia" w:ascii="宋体" w:hAnsi="宋体" w:eastAsia="宋体" w:cs="宋体"/>
                <w:b/>
                <w:bCs/>
                <w:sz w:val="18"/>
                <w:szCs w:val="18"/>
              </w:rPr>
              <w:t>西北</w:t>
            </w:r>
          </w:p>
        </w:tc>
        <w:tc>
          <w:tcPr>
            <w:tcW w:w="2127" w:type="dxa"/>
            <w:noWrap w:val="0"/>
            <w:vAlign w:val="center"/>
          </w:tcPr>
          <w:p w14:paraId="3E7FBD2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rPr>
            </w:pPr>
            <w:r>
              <w:rPr>
                <w:rFonts w:hint="eastAsia" w:ascii="宋体" w:hAnsi="宋体" w:eastAsia="宋体" w:cs="宋体"/>
                <w:sz w:val="18"/>
                <w:szCs w:val="18"/>
              </w:rPr>
              <w:t>1070.3</w:t>
            </w:r>
          </w:p>
        </w:tc>
        <w:tc>
          <w:tcPr>
            <w:tcW w:w="2128" w:type="dxa"/>
            <w:noWrap w:val="0"/>
            <w:vAlign w:val="center"/>
          </w:tcPr>
          <w:p w14:paraId="145F28A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rPr>
            </w:pPr>
            <w:r>
              <w:rPr>
                <w:rFonts w:hint="eastAsia" w:ascii="宋体" w:hAnsi="宋体" w:eastAsia="宋体" w:cs="宋体"/>
                <w:sz w:val="18"/>
                <w:szCs w:val="18"/>
              </w:rPr>
              <w:t>1.6</w:t>
            </w:r>
          </w:p>
        </w:tc>
        <w:tc>
          <w:tcPr>
            <w:tcW w:w="2128" w:type="dxa"/>
            <w:noWrap w:val="0"/>
            <w:vAlign w:val="center"/>
          </w:tcPr>
          <w:p w14:paraId="03926F0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rPr>
            </w:pPr>
            <w:r>
              <w:rPr>
                <w:rFonts w:hint="eastAsia" w:ascii="宋体" w:hAnsi="宋体" w:eastAsia="宋体" w:cs="宋体"/>
                <w:sz w:val="18"/>
                <w:szCs w:val="18"/>
              </w:rPr>
              <w:t>6.9</w:t>
            </w:r>
          </w:p>
        </w:tc>
      </w:tr>
    </w:tbl>
    <w:p w14:paraId="10CEF3F0">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4" w:name="_Toc230102035"/>
      <w:r>
        <w:rPr>
          <w:rFonts w:hint="eastAsia" w:ascii="宋体" w:hAnsi="宋体" w:eastAsia="宋体" w:cs="宋体"/>
          <w:b/>
          <w:bCs/>
          <w:sz w:val="21"/>
          <w:szCs w:val="21"/>
          <w:lang w:val="en-US" w:eastAsia="zh-CN"/>
        </w:rPr>
        <w:t>二、硫酸生产情况</w:t>
      </w:r>
      <w:bookmarkEnd w:id="4"/>
    </w:p>
    <w:p w14:paraId="4317BF38">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5" w:name="_Toc230102036"/>
      <w:r>
        <w:rPr>
          <w:rFonts w:hint="eastAsia" w:ascii="宋体" w:hAnsi="宋体" w:eastAsia="宋体" w:cs="宋体"/>
          <w:b/>
          <w:bCs/>
          <w:sz w:val="21"/>
          <w:szCs w:val="21"/>
          <w:lang w:val="en-US" w:eastAsia="zh-CN"/>
        </w:rPr>
        <w:t>1.总产量</w:t>
      </w:r>
      <w:bookmarkEnd w:id="5"/>
    </w:p>
    <w:p w14:paraId="57818F61">
      <w:pPr>
        <w:jc w:val="center"/>
        <w:rPr>
          <w:rFonts w:hint="eastAsia"/>
        </w:rPr>
      </w:pPr>
      <w:r>
        <w:drawing>
          <wp:inline distT="0" distB="0" distL="114300" distR="114300">
            <wp:extent cx="4317365" cy="2162810"/>
            <wp:effectExtent l="0" t="0" r="6985" b="889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7"/>
                    <a:srcRect t="7210"/>
                    <a:stretch>
                      <a:fillRect/>
                    </a:stretch>
                  </pic:blipFill>
                  <pic:spPr>
                    <a:xfrm>
                      <a:off x="0" y="0"/>
                      <a:ext cx="4317365" cy="2162810"/>
                    </a:xfrm>
                    <a:prstGeom prst="rect">
                      <a:avLst/>
                    </a:prstGeom>
                    <a:noFill/>
                    <a:ln>
                      <a:noFill/>
                    </a:ln>
                  </pic:spPr>
                </pic:pic>
              </a:graphicData>
            </a:graphic>
          </wp:inline>
        </w:drawing>
      </w:r>
    </w:p>
    <w:p w14:paraId="5B7DB4A9">
      <w:pPr>
        <w:pageBreakBefore w:val="0"/>
        <w:kinsoku/>
        <w:wordWrap/>
        <w:overflowPunct/>
        <w:topLinePunct w:val="0"/>
        <w:autoSpaceDE/>
        <w:autoSpaceDN/>
        <w:bidi w:val="0"/>
        <w:spacing w:line="400" w:lineRule="exact"/>
        <w:jc w:val="center"/>
        <w:textAlignment w:val="auto"/>
        <w:rPr>
          <w:rFonts w:hint="eastAsia" w:ascii="宋体" w:hAnsi="宋体" w:eastAsia="宋体" w:cs="宋体"/>
          <w:b/>
          <w:sz w:val="21"/>
          <w:szCs w:val="21"/>
        </w:rPr>
      </w:pPr>
      <w:bookmarkStart w:id="6" w:name="_Hlk72421021"/>
      <w:r>
        <w:rPr>
          <w:rFonts w:hint="eastAsia" w:ascii="宋体" w:hAnsi="宋体" w:eastAsia="宋体" w:cs="宋体"/>
          <w:b/>
          <w:sz w:val="21"/>
          <w:szCs w:val="21"/>
        </w:rPr>
        <w:t>图</w:t>
      </w:r>
      <w:r>
        <w:rPr>
          <w:rFonts w:hint="eastAsia" w:ascii="宋体" w:hAnsi="宋体" w:eastAsia="宋体" w:cs="宋体"/>
          <w:b/>
          <w:sz w:val="21"/>
          <w:szCs w:val="21"/>
          <w:lang w:val="en-US" w:eastAsia="zh-CN"/>
        </w:rPr>
        <w:t>4</w:t>
      </w:r>
      <w:r>
        <w:rPr>
          <w:rFonts w:hint="eastAsia" w:ascii="宋体" w:hAnsi="宋体" w:eastAsia="宋体" w:cs="宋体"/>
          <w:b/>
          <w:sz w:val="21"/>
          <w:szCs w:val="21"/>
        </w:rPr>
        <w:t xml:space="preserve"> 2020-2025年我国硫酸产量及结构</w:t>
      </w:r>
    </w:p>
    <w:bookmarkEnd w:id="6"/>
    <w:p w14:paraId="153E021F">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据协会统计，2025年全国硫酸总产量1.278亿吨，同比增长5.3%；占全球硫酸总产量的39.1%。其中，硫黄制酸产量5211.3万吨，同比增长2.1%；冶炼酸产量5231.7万吨，同比增长7.7%，近20年保持连续增长走势；硫铁矿制酸产量2149.5万吨，同比增长5.5%；其他制酸产量192.4万吨，同比增长33.9%。</w:t>
      </w:r>
    </w:p>
    <w:p w14:paraId="2965FCB4">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7" w:name="_Toc230102037"/>
      <w:r>
        <w:rPr>
          <w:rFonts w:hint="eastAsia" w:ascii="宋体" w:hAnsi="宋体" w:eastAsia="宋体" w:cs="宋体"/>
          <w:b/>
          <w:bCs/>
          <w:sz w:val="21"/>
          <w:szCs w:val="21"/>
          <w:lang w:val="en-US" w:eastAsia="zh-CN"/>
        </w:rPr>
        <w:t>2.产量结构</w:t>
      </w:r>
      <w:bookmarkEnd w:id="7"/>
    </w:p>
    <w:p w14:paraId="514CE3CF">
      <w:pPr>
        <w:jc w:val="center"/>
        <w:rPr>
          <w:rFonts w:hint="eastAsia"/>
        </w:rPr>
      </w:pPr>
      <w:r>
        <w:drawing>
          <wp:inline distT="0" distB="0" distL="114300" distR="114300">
            <wp:extent cx="4306570" cy="2029460"/>
            <wp:effectExtent l="0" t="0" r="17780" b="8890"/>
            <wp:docPr id="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pic:cNvPicPr>
                      <a:picLocks noChangeAspect="1"/>
                    </pic:cNvPicPr>
                  </pic:nvPicPr>
                  <pic:blipFill>
                    <a:blip r:embed="rId8"/>
                    <a:srcRect t="10376" b="2852"/>
                    <a:stretch>
                      <a:fillRect/>
                    </a:stretch>
                  </pic:blipFill>
                  <pic:spPr>
                    <a:xfrm>
                      <a:off x="0" y="0"/>
                      <a:ext cx="4306570" cy="2029460"/>
                    </a:xfrm>
                    <a:prstGeom prst="rect">
                      <a:avLst/>
                    </a:prstGeom>
                    <a:noFill/>
                    <a:ln>
                      <a:noFill/>
                    </a:ln>
                  </pic:spPr>
                </pic:pic>
              </a:graphicData>
            </a:graphic>
          </wp:inline>
        </w:drawing>
      </w:r>
    </w:p>
    <w:p w14:paraId="5816FD0B">
      <w:pPr>
        <w:pageBreakBefore w:val="0"/>
        <w:kinsoku/>
        <w:wordWrap/>
        <w:overflowPunct/>
        <w:topLinePunct w:val="0"/>
        <w:autoSpaceDE/>
        <w:autoSpaceDN/>
        <w:bidi w:val="0"/>
        <w:spacing w:line="400" w:lineRule="exact"/>
        <w:jc w:val="center"/>
        <w:textAlignment w:val="auto"/>
        <w:rPr>
          <w:rFonts w:hint="eastAsia" w:ascii="宋体" w:hAnsi="宋体" w:eastAsia="宋体" w:cs="宋体"/>
          <w:b/>
          <w:sz w:val="21"/>
          <w:szCs w:val="21"/>
        </w:rPr>
      </w:pPr>
      <w:bookmarkStart w:id="8" w:name="_Hlk72421207"/>
      <w:r>
        <w:rPr>
          <w:rFonts w:hint="eastAsia" w:ascii="宋体" w:hAnsi="宋体" w:eastAsia="宋体" w:cs="宋体"/>
          <w:b/>
          <w:sz w:val="21"/>
          <w:szCs w:val="21"/>
        </w:rPr>
        <w:t>图</w:t>
      </w:r>
      <w:r>
        <w:rPr>
          <w:rFonts w:hint="eastAsia" w:ascii="宋体" w:hAnsi="宋体" w:eastAsia="宋体" w:cs="宋体"/>
          <w:b/>
          <w:sz w:val="21"/>
          <w:szCs w:val="21"/>
          <w:lang w:val="en-US" w:eastAsia="zh-CN"/>
        </w:rPr>
        <w:t>5</w:t>
      </w:r>
      <w:r>
        <w:rPr>
          <w:rFonts w:hint="eastAsia" w:ascii="宋体" w:hAnsi="宋体" w:eastAsia="宋体" w:cs="宋体"/>
          <w:b/>
          <w:sz w:val="21"/>
          <w:szCs w:val="21"/>
        </w:rPr>
        <w:t xml:space="preserve"> 2025年我国硫酸产量结构</w:t>
      </w:r>
    </w:p>
    <w:bookmarkEnd w:id="8"/>
    <w:p w14:paraId="5FF05208">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据协会统计，2025年硫黄制酸产量占我国总产量比例为40.8%，同比下降1.3个百分点；冶炼酸产量占比40.9%，同比上升0.9个百分点；硫铁矿制酸占比16.8%，同比持平；其他制酸占比1.5%，同比上升0.3个百分点。</w:t>
      </w:r>
    </w:p>
    <w:p w14:paraId="487BA5B2">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9" w:name="_Toc230102038"/>
      <w:r>
        <w:rPr>
          <w:rFonts w:hint="eastAsia" w:ascii="宋体" w:hAnsi="宋体" w:eastAsia="宋体" w:cs="宋体"/>
          <w:b/>
          <w:bCs/>
          <w:sz w:val="21"/>
          <w:szCs w:val="21"/>
          <w:lang w:val="en-US" w:eastAsia="zh-CN"/>
        </w:rPr>
        <w:t>3.开工率</w:t>
      </w:r>
      <w:bookmarkEnd w:id="9"/>
    </w:p>
    <w:p w14:paraId="06CCC9CA">
      <w:pPr>
        <w:jc w:val="center"/>
        <w:rPr>
          <w:rFonts w:hint="eastAsia"/>
        </w:rPr>
      </w:pPr>
      <w:r>
        <w:drawing>
          <wp:inline distT="0" distB="0" distL="114300" distR="114300">
            <wp:extent cx="4250690" cy="2163445"/>
            <wp:effectExtent l="0" t="0" r="16510" b="8255"/>
            <wp:docPr id="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6"/>
                    <pic:cNvPicPr>
                      <a:picLocks noChangeAspect="1"/>
                    </pic:cNvPicPr>
                  </pic:nvPicPr>
                  <pic:blipFill>
                    <a:blip r:embed="rId9"/>
                    <a:srcRect t="6563"/>
                    <a:stretch>
                      <a:fillRect/>
                    </a:stretch>
                  </pic:blipFill>
                  <pic:spPr>
                    <a:xfrm>
                      <a:off x="0" y="0"/>
                      <a:ext cx="4250690" cy="2163445"/>
                    </a:xfrm>
                    <a:prstGeom prst="rect">
                      <a:avLst/>
                    </a:prstGeom>
                    <a:noFill/>
                    <a:ln>
                      <a:noFill/>
                    </a:ln>
                  </pic:spPr>
                </pic:pic>
              </a:graphicData>
            </a:graphic>
          </wp:inline>
        </w:drawing>
      </w:r>
    </w:p>
    <w:p w14:paraId="718D13A9">
      <w:pPr>
        <w:pageBreakBefore w:val="0"/>
        <w:kinsoku/>
        <w:wordWrap/>
        <w:overflowPunct/>
        <w:topLinePunct w:val="0"/>
        <w:autoSpaceDE/>
        <w:autoSpaceDN/>
        <w:bidi w:val="0"/>
        <w:spacing w:line="400" w:lineRule="exact"/>
        <w:jc w:val="center"/>
        <w:textAlignment w:val="auto"/>
        <w:rPr>
          <w:rFonts w:hint="eastAsia" w:ascii="宋体" w:hAnsi="宋体" w:eastAsia="宋体" w:cs="宋体"/>
          <w:b/>
          <w:sz w:val="21"/>
          <w:szCs w:val="21"/>
        </w:rPr>
      </w:pPr>
      <w:bookmarkStart w:id="10" w:name="_Hlk72421252"/>
      <w:r>
        <w:rPr>
          <w:rFonts w:hint="eastAsia" w:ascii="宋体" w:hAnsi="宋体" w:eastAsia="宋体" w:cs="宋体"/>
          <w:b/>
          <w:sz w:val="21"/>
          <w:szCs w:val="21"/>
        </w:rPr>
        <w:t>图</w:t>
      </w:r>
      <w:r>
        <w:rPr>
          <w:rFonts w:hint="eastAsia" w:ascii="宋体" w:hAnsi="宋体" w:eastAsia="宋体" w:cs="宋体"/>
          <w:b/>
          <w:sz w:val="21"/>
          <w:szCs w:val="21"/>
          <w:lang w:val="en-US" w:eastAsia="zh-CN"/>
        </w:rPr>
        <w:t>6</w:t>
      </w:r>
      <w:r>
        <w:rPr>
          <w:rFonts w:hint="eastAsia" w:ascii="宋体" w:hAnsi="宋体" w:eastAsia="宋体" w:cs="宋体"/>
          <w:b/>
          <w:sz w:val="21"/>
          <w:szCs w:val="21"/>
        </w:rPr>
        <w:t xml:space="preserve"> 2020-2025年我国硫酸行业年均开工率走势</w:t>
      </w:r>
    </w:p>
    <w:bookmarkEnd w:id="10"/>
    <w:p w14:paraId="68EA847E">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据协会统计测算，2025年我国硫酸行业平均开工率为82.7%，同比下降3.1个百分点。其中，硫黄制酸开工率77.8%，同比下降5.4个百分点；冶炼酸开工率89.2%，同比下降1.2个百分点；硫铁矿制酸开工率82.0%，同比下降1.6个百分点；其他制酸开工率69.9%，同比上升2.1个百分点。</w:t>
      </w:r>
    </w:p>
    <w:p w14:paraId="0C8970B6">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11" w:name="_Toc230102041"/>
      <w:r>
        <w:rPr>
          <w:rFonts w:hint="eastAsia" w:ascii="宋体" w:hAnsi="宋体" w:eastAsia="宋体" w:cs="宋体"/>
          <w:b/>
          <w:bCs/>
          <w:sz w:val="21"/>
          <w:szCs w:val="21"/>
          <w:lang w:val="en-US" w:eastAsia="zh-CN"/>
        </w:rPr>
        <w:t>4.产量分布</w:t>
      </w:r>
      <w:bookmarkEnd w:id="11"/>
    </w:p>
    <w:p w14:paraId="22BE888C">
      <w:pPr>
        <w:jc w:val="center"/>
        <w:rPr>
          <w:rFonts w:hint="eastAsia" w:ascii="黑体" w:eastAsia="黑体"/>
          <w:b/>
        </w:rPr>
      </w:pPr>
      <w:r>
        <w:drawing>
          <wp:inline distT="0" distB="0" distL="114300" distR="114300">
            <wp:extent cx="3259455" cy="2703830"/>
            <wp:effectExtent l="0" t="0" r="17145" b="1270"/>
            <wp:docPr id="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7"/>
                    <pic:cNvPicPr>
                      <a:picLocks noChangeAspect="1"/>
                    </pic:cNvPicPr>
                  </pic:nvPicPr>
                  <pic:blipFill>
                    <a:blip r:embed="rId10"/>
                    <a:stretch>
                      <a:fillRect/>
                    </a:stretch>
                  </pic:blipFill>
                  <pic:spPr>
                    <a:xfrm>
                      <a:off x="0" y="0"/>
                      <a:ext cx="3259455" cy="2703830"/>
                    </a:xfrm>
                    <a:prstGeom prst="rect">
                      <a:avLst/>
                    </a:prstGeom>
                    <a:solidFill>
                      <a:srgbClr val="FFFFFF"/>
                    </a:solidFill>
                    <a:ln>
                      <a:noFill/>
                    </a:ln>
                  </pic:spPr>
                </pic:pic>
              </a:graphicData>
            </a:graphic>
          </wp:inline>
        </w:drawing>
      </w:r>
    </w:p>
    <w:p w14:paraId="7F3D7D37">
      <w:pPr>
        <w:jc w:val="center"/>
        <w:rPr>
          <w:rFonts w:hint="eastAsia" w:ascii="黑体" w:eastAsia="黑体"/>
          <w:b/>
        </w:rPr>
      </w:pPr>
      <w:bookmarkStart w:id="12" w:name="_Hlk72421347"/>
      <w:r>
        <w:rPr>
          <w:rFonts w:hint="eastAsia" w:ascii="黑体" w:eastAsia="黑体"/>
          <w:b/>
        </w:rPr>
        <w:t>图</w:t>
      </w:r>
      <w:r>
        <w:rPr>
          <w:rFonts w:hint="eastAsia" w:ascii="黑体" w:eastAsia="黑体"/>
          <w:b/>
          <w:lang w:val="en-US" w:eastAsia="zh-CN"/>
        </w:rPr>
        <w:t>7</w:t>
      </w:r>
      <w:r>
        <w:rPr>
          <w:rFonts w:hint="eastAsia" w:ascii="黑体" w:eastAsia="黑体"/>
          <w:b/>
        </w:rPr>
        <w:t xml:space="preserve"> 20</w:t>
      </w:r>
      <w:r>
        <w:rPr>
          <w:rFonts w:ascii="黑体" w:eastAsia="黑体"/>
          <w:b/>
        </w:rPr>
        <w:t>2</w:t>
      </w:r>
      <w:r>
        <w:rPr>
          <w:rFonts w:hint="eastAsia" w:ascii="黑体" w:eastAsia="黑体"/>
          <w:b/>
        </w:rPr>
        <w:t>5年我国硫酸产量分布</w:t>
      </w:r>
    </w:p>
    <w:bookmarkEnd w:id="12"/>
    <w:p w14:paraId="56708FFF">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我国硫酸产量主要分布在磷资源较丰富的云贵川鄂四省，以及山东、安徽、内蒙古、广西、甘肃等冶炼酸产能较大的省份。</w:t>
      </w:r>
    </w:p>
    <w:p w14:paraId="7FCFC25C">
      <w:pPr>
        <w:pageBreakBefore w:val="0"/>
        <w:kinsoku/>
        <w:wordWrap/>
        <w:overflowPunct/>
        <w:topLinePunct w:val="0"/>
        <w:autoSpaceDE/>
        <w:autoSpaceDN/>
        <w:bidi w:val="0"/>
        <w:spacing w:line="400" w:lineRule="exact"/>
        <w:jc w:val="center"/>
        <w:textAlignment w:val="auto"/>
        <w:rPr>
          <w:rFonts w:hint="eastAsia" w:ascii="宋体" w:hAnsi="宋体" w:eastAsia="宋体" w:cs="宋体"/>
          <w:b/>
          <w:sz w:val="21"/>
          <w:szCs w:val="21"/>
        </w:rPr>
      </w:pPr>
      <w:bookmarkStart w:id="13" w:name="_Hlk72421315"/>
      <w:r>
        <w:rPr>
          <w:rFonts w:hint="eastAsia" w:ascii="宋体" w:hAnsi="宋体" w:eastAsia="宋体" w:cs="宋体"/>
          <w:b/>
          <w:sz w:val="21"/>
          <w:szCs w:val="21"/>
        </w:rPr>
        <w:t>表</w:t>
      </w:r>
      <w:r>
        <w:rPr>
          <w:rFonts w:hint="eastAsia" w:ascii="宋体" w:hAnsi="宋体" w:eastAsia="宋体" w:cs="宋体"/>
          <w:b/>
          <w:sz w:val="21"/>
          <w:szCs w:val="21"/>
          <w:lang w:val="en-US" w:eastAsia="zh-CN"/>
        </w:rPr>
        <w:t>2</w:t>
      </w:r>
      <w:r>
        <w:rPr>
          <w:rFonts w:hint="eastAsia" w:ascii="宋体" w:hAnsi="宋体" w:eastAsia="宋体" w:cs="宋体"/>
          <w:b/>
          <w:sz w:val="21"/>
          <w:szCs w:val="21"/>
        </w:rPr>
        <w:t xml:space="preserve"> 2025年我国各地区硫酸产量及占比</w:t>
      </w:r>
    </w:p>
    <w:bookmarkEnd w:id="13"/>
    <w:tbl>
      <w:tblPr>
        <w:tblStyle w:val="17"/>
        <w:tblW w:w="0" w:type="auto"/>
        <w:tblInd w:w="0" w:type="dxa"/>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2139"/>
        <w:gridCol w:w="2127"/>
        <w:gridCol w:w="2128"/>
        <w:gridCol w:w="2128"/>
      </w:tblGrid>
      <w:tr w14:paraId="7CDA0925">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2139" w:type="dxa"/>
            <w:noWrap w:val="0"/>
            <w:vAlign w:val="center"/>
          </w:tcPr>
          <w:p w14:paraId="64EF632D">
            <w:pPr>
              <w:spacing w:line="240" w:lineRule="auto"/>
              <w:jc w:val="center"/>
              <w:rPr>
                <w:rFonts w:hint="eastAsia" w:ascii="宋体" w:hAnsi="宋体" w:eastAsia="宋体" w:cs="宋体"/>
                <w:b/>
                <w:sz w:val="18"/>
                <w:szCs w:val="18"/>
              </w:rPr>
            </w:pPr>
          </w:p>
        </w:tc>
        <w:tc>
          <w:tcPr>
            <w:tcW w:w="2127" w:type="dxa"/>
            <w:noWrap w:val="0"/>
            <w:vAlign w:val="center"/>
          </w:tcPr>
          <w:p w14:paraId="7692F0FE">
            <w:pPr>
              <w:spacing w:line="240" w:lineRule="auto"/>
              <w:jc w:val="center"/>
              <w:rPr>
                <w:rFonts w:hint="eastAsia" w:ascii="宋体" w:hAnsi="宋体" w:eastAsia="宋体" w:cs="宋体"/>
                <w:b/>
                <w:sz w:val="18"/>
                <w:szCs w:val="18"/>
              </w:rPr>
            </w:pPr>
            <w:r>
              <w:rPr>
                <w:rFonts w:hint="eastAsia" w:ascii="宋体" w:hAnsi="宋体" w:eastAsia="宋体" w:cs="宋体"/>
                <w:b/>
                <w:sz w:val="18"/>
                <w:szCs w:val="18"/>
              </w:rPr>
              <w:t>产量（万吨）</w:t>
            </w:r>
          </w:p>
        </w:tc>
        <w:tc>
          <w:tcPr>
            <w:tcW w:w="2128" w:type="dxa"/>
            <w:noWrap w:val="0"/>
            <w:vAlign w:val="center"/>
          </w:tcPr>
          <w:p w14:paraId="2C8A69C9">
            <w:pPr>
              <w:spacing w:line="240" w:lineRule="auto"/>
              <w:jc w:val="center"/>
              <w:rPr>
                <w:rFonts w:hint="eastAsia" w:ascii="宋体" w:hAnsi="宋体" w:eastAsia="宋体" w:cs="宋体"/>
                <w:b/>
                <w:sz w:val="18"/>
                <w:szCs w:val="18"/>
              </w:rPr>
            </w:pPr>
            <w:r>
              <w:rPr>
                <w:rFonts w:hint="eastAsia" w:ascii="宋体" w:hAnsi="宋体" w:eastAsia="宋体" w:cs="宋体"/>
                <w:b/>
                <w:sz w:val="18"/>
                <w:szCs w:val="18"/>
              </w:rPr>
              <w:t>同比（%）</w:t>
            </w:r>
          </w:p>
        </w:tc>
        <w:tc>
          <w:tcPr>
            <w:tcW w:w="2128" w:type="dxa"/>
            <w:noWrap w:val="0"/>
            <w:vAlign w:val="center"/>
          </w:tcPr>
          <w:p w14:paraId="27DEEB4C">
            <w:pPr>
              <w:spacing w:line="240" w:lineRule="auto"/>
              <w:jc w:val="center"/>
              <w:rPr>
                <w:rFonts w:hint="eastAsia" w:ascii="宋体" w:hAnsi="宋体" w:eastAsia="宋体" w:cs="宋体"/>
                <w:b/>
                <w:sz w:val="18"/>
                <w:szCs w:val="18"/>
              </w:rPr>
            </w:pPr>
            <w:r>
              <w:rPr>
                <w:rFonts w:hint="eastAsia" w:ascii="宋体" w:hAnsi="宋体" w:eastAsia="宋体" w:cs="宋体"/>
                <w:b/>
                <w:sz w:val="18"/>
                <w:szCs w:val="18"/>
              </w:rPr>
              <w:t>占比（%）</w:t>
            </w:r>
          </w:p>
        </w:tc>
      </w:tr>
      <w:tr w14:paraId="1BF18143">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2139" w:type="dxa"/>
            <w:noWrap w:val="0"/>
            <w:vAlign w:val="center"/>
          </w:tcPr>
          <w:p w14:paraId="673A6265">
            <w:pPr>
              <w:spacing w:line="240" w:lineRule="auto"/>
              <w:jc w:val="center"/>
              <w:rPr>
                <w:rFonts w:hint="eastAsia" w:ascii="宋体" w:hAnsi="宋体" w:eastAsia="宋体" w:cs="宋体"/>
                <w:b/>
                <w:sz w:val="18"/>
                <w:szCs w:val="18"/>
              </w:rPr>
            </w:pPr>
            <w:r>
              <w:rPr>
                <w:rFonts w:hint="eastAsia" w:ascii="宋体" w:hAnsi="宋体" w:eastAsia="宋体" w:cs="宋体"/>
                <w:b/>
                <w:sz w:val="18"/>
                <w:szCs w:val="18"/>
              </w:rPr>
              <w:t>东北</w:t>
            </w:r>
          </w:p>
        </w:tc>
        <w:tc>
          <w:tcPr>
            <w:tcW w:w="2127" w:type="dxa"/>
            <w:noWrap w:val="0"/>
            <w:vAlign w:val="center"/>
          </w:tcPr>
          <w:p w14:paraId="2A9D88D5">
            <w:pPr>
              <w:spacing w:line="240" w:lineRule="auto"/>
              <w:jc w:val="center"/>
              <w:rPr>
                <w:rFonts w:hint="eastAsia" w:ascii="宋体" w:hAnsi="宋体" w:eastAsia="宋体" w:cs="宋体"/>
                <w:bCs/>
                <w:sz w:val="18"/>
                <w:szCs w:val="18"/>
              </w:rPr>
            </w:pPr>
            <w:r>
              <w:rPr>
                <w:rFonts w:hint="eastAsia" w:ascii="宋体" w:hAnsi="宋体" w:eastAsia="宋体" w:cs="宋体"/>
                <w:bCs/>
                <w:sz w:val="18"/>
                <w:szCs w:val="18"/>
              </w:rPr>
              <w:t>239.7</w:t>
            </w:r>
          </w:p>
        </w:tc>
        <w:tc>
          <w:tcPr>
            <w:tcW w:w="2128" w:type="dxa"/>
            <w:noWrap w:val="0"/>
            <w:vAlign w:val="center"/>
          </w:tcPr>
          <w:p w14:paraId="6EE732E7">
            <w:pPr>
              <w:spacing w:line="240" w:lineRule="auto"/>
              <w:jc w:val="center"/>
              <w:rPr>
                <w:rFonts w:hint="eastAsia" w:ascii="宋体" w:hAnsi="宋体" w:eastAsia="宋体" w:cs="宋体"/>
                <w:bCs/>
                <w:sz w:val="18"/>
                <w:szCs w:val="18"/>
              </w:rPr>
            </w:pPr>
            <w:r>
              <w:rPr>
                <w:rFonts w:hint="eastAsia" w:ascii="宋体" w:hAnsi="宋体" w:eastAsia="宋体" w:cs="宋体"/>
                <w:bCs/>
                <w:sz w:val="18"/>
                <w:szCs w:val="18"/>
              </w:rPr>
              <w:t>-2.0</w:t>
            </w:r>
          </w:p>
        </w:tc>
        <w:tc>
          <w:tcPr>
            <w:tcW w:w="2128" w:type="dxa"/>
            <w:noWrap w:val="0"/>
            <w:vAlign w:val="center"/>
          </w:tcPr>
          <w:p w14:paraId="2A3B3992">
            <w:pPr>
              <w:spacing w:line="240" w:lineRule="auto"/>
              <w:jc w:val="center"/>
              <w:rPr>
                <w:rFonts w:hint="eastAsia" w:ascii="宋体" w:hAnsi="宋体" w:eastAsia="宋体" w:cs="宋体"/>
                <w:bCs/>
                <w:sz w:val="18"/>
                <w:szCs w:val="18"/>
              </w:rPr>
            </w:pPr>
            <w:r>
              <w:rPr>
                <w:rFonts w:hint="eastAsia" w:ascii="宋体" w:hAnsi="宋体" w:eastAsia="宋体" w:cs="宋体"/>
                <w:bCs/>
                <w:sz w:val="18"/>
                <w:szCs w:val="18"/>
              </w:rPr>
              <w:t>1.9</w:t>
            </w:r>
          </w:p>
        </w:tc>
      </w:tr>
      <w:tr w14:paraId="05FF3FEF">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2139" w:type="dxa"/>
            <w:noWrap w:val="0"/>
            <w:vAlign w:val="center"/>
          </w:tcPr>
          <w:p w14:paraId="0B5A2186">
            <w:pPr>
              <w:spacing w:line="240" w:lineRule="auto"/>
              <w:jc w:val="center"/>
              <w:rPr>
                <w:rFonts w:hint="eastAsia" w:ascii="宋体" w:hAnsi="宋体" w:eastAsia="宋体" w:cs="宋体"/>
                <w:b/>
                <w:sz w:val="18"/>
                <w:szCs w:val="18"/>
              </w:rPr>
            </w:pPr>
            <w:r>
              <w:rPr>
                <w:rFonts w:hint="eastAsia" w:ascii="宋体" w:hAnsi="宋体" w:eastAsia="宋体" w:cs="宋体"/>
                <w:b/>
                <w:sz w:val="18"/>
                <w:szCs w:val="18"/>
              </w:rPr>
              <w:t>华北</w:t>
            </w:r>
          </w:p>
        </w:tc>
        <w:tc>
          <w:tcPr>
            <w:tcW w:w="2127" w:type="dxa"/>
            <w:noWrap w:val="0"/>
            <w:vAlign w:val="center"/>
          </w:tcPr>
          <w:p w14:paraId="4249D366">
            <w:pPr>
              <w:spacing w:line="240" w:lineRule="auto"/>
              <w:jc w:val="center"/>
              <w:rPr>
                <w:rFonts w:hint="eastAsia" w:ascii="宋体" w:hAnsi="宋体" w:eastAsia="宋体" w:cs="宋体"/>
                <w:bCs/>
                <w:sz w:val="18"/>
                <w:szCs w:val="18"/>
              </w:rPr>
            </w:pPr>
            <w:r>
              <w:rPr>
                <w:rFonts w:hint="eastAsia" w:ascii="宋体" w:hAnsi="宋体" w:eastAsia="宋体" w:cs="宋体"/>
                <w:bCs/>
                <w:sz w:val="18"/>
                <w:szCs w:val="18"/>
              </w:rPr>
              <w:t>964.8</w:t>
            </w:r>
          </w:p>
        </w:tc>
        <w:tc>
          <w:tcPr>
            <w:tcW w:w="2128" w:type="dxa"/>
            <w:noWrap w:val="0"/>
            <w:vAlign w:val="center"/>
          </w:tcPr>
          <w:p w14:paraId="493F35B1">
            <w:pPr>
              <w:spacing w:line="240" w:lineRule="auto"/>
              <w:jc w:val="center"/>
              <w:rPr>
                <w:rFonts w:hint="eastAsia" w:ascii="宋体" w:hAnsi="宋体" w:eastAsia="宋体" w:cs="宋体"/>
                <w:bCs/>
                <w:sz w:val="18"/>
                <w:szCs w:val="18"/>
              </w:rPr>
            </w:pPr>
            <w:r>
              <w:rPr>
                <w:rFonts w:hint="eastAsia" w:ascii="宋体" w:hAnsi="宋体" w:eastAsia="宋体" w:cs="宋体"/>
                <w:bCs/>
                <w:sz w:val="18"/>
                <w:szCs w:val="18"/>
              </w:rPr>
              <w:t>12.9</w:t>
            </w:r>
          </w:p>
        </w:tc>
        <w:tc>
          <w:tcPr>
            <w:tcW w:w="2128" w:type="dxa"/>
            <w:noWrap w:val="0"/>
            <w:vAlign w:val="center"/>
          </w:tcPr>
          <w:p w14:paraId="0FE76559">
            <w:pPr>
              <w:spacing w:line="240" w:lineRule="auto"/>
              <w:jc w:val="center"/>
              <w:rPr>
                <w:rFonts w:hint="eastAsia" w:ascii="宋体" w:hAnsi="宋体" w:eastAsia="宋体" w:cs="宋体"/>
                <w:bCs/>
                <w:sz w:val="18"/>
                <w:szCs w:val="18"/>
              </w:rPr>
            </w:pPr>
            <w:r>
              <w:rPr>
                <w:rFonts w:hint="eastAsia" w:ascii="宋体" w:hAnsi="宋体" w:eastAsia="宋体" w:cs="宋体"/>
                <w:bCs/>
                <w:sz w:val="18"/>
                <w:szCs w:val="18"/>
              </w:rPr>
              <w:t>7.5</w:t>
            </w:r>
          </w:p>
        </w:tc>
      </w:tr>
      <w:tr w14:paraId="59890DF2">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2139" w:type="dxa"/>
            <w:noWrap w:val="0"/>
            <w:vAlign w:val="center"/>
          </w:tcPr>
          <w:p w14:paraId="1CB427C2">
            <w:pPr>
              <w:spacing w:line="240" w:lineRule="auto"/>
              <w:jc w:val="center"/>
              <w:rPr>
                <w:rFonts w:hint="eastAsia" w:ascii="宋体" w:hAnsi="宋体" w:eastAsia="宋体" w:cs="宋体"/>
                <w:b/>
                <w:sz w:val="18"/>
                <w:szCs w:val="18"/>
              </w:rPr>
            </w:pPr>
            <w:r>
              <w:rPr>
                <w:rFonts w:hint="eastAsia" w:ascii="宋体" w:hAnsi="宋体" w:eastAsia="宋体" w:cs="宋体"/>
                <w:b/>
                <w:sz w:val="18"/>
                <w:szCs w:val="18"/>
              </w:rPr>
              <w:t>华东</w:t>
            </w:r>
          </w:p>
        </w:tc>
        <w:tc>
          <w:tcPr>
            <w:tcW w:w="2127" w:type="dxa"/>
            <w:noWrap w:val="0"/>
            <w:vAlign w:val="center"/>
          </w:tcPr>
          <w:p w14:paraId="0A0462B9">
            <w:pPr>
              <w:spacing w:line="240" w:lineRule="auto"/>
              <w:jc w:val="center"/>
              <w:rPr>
                <w:rFonts w:hint="eastAsia" w:ascii="宋体" w:hAnsi="宋体" w:eastAsia="宋体" w:cs="宋体"/>
                <w:bCs/>
                <w:sz w:val="18"/>
                <w:szCs w:val="18"/>
              </w:rPr>
            </w:pPr>
            <w:r>
              <w:rPr>
                <w:rFonts w:hint="eastAsia" w:ascii="宋体" w:hAnsi="宋体" w:eastAsia="宋体" w:cs="宋体"/>
                <w:bCs/>
                <w:sz w:val="18"/>
                <w:szCs w:val="18"/>
              </w:rPr>
              <w:t>3336.5</w:t>
            </w:r>
          </w:p>
        </w:tc>
        <w:tc>
          <w:tcPr>
            <w:tcW w:w="2128" w:type="dxa"/>
            <w:noWrap w:val="0"/>
            <w:vAlign w:val="center"/>
          </w:tcPr>
          <w:p w14:paraId="16603F45">
            <w:pPr>
              <w:spacing w:line="240" w:lineRule="auto"/>
              <w:jc w:val="center"/>
              <w:rPr>
                <w:rFonts w:hint="eastAsia" w:ascii="宋体" w:hAnsi="宋体" w:eastAsia="宋体" w:cs="宋体"/>
                <w:bCs/>
                <w:sz w:val="18"/>
                <w:szCs w:val="18"/>
              </w:rPr>
            </w:pPr>
            <w:r>
              <w:rPr>
                <w:rFonts w:hint="eastAsia" w:ascii="宋体" w:hAnsi="宋体" w:eastAsia="宋体" w:cs="宋体"/>
                <w:bCs/>
                <w:sz w:val="18"/>
                <w:szCs w:val="18"/>
              </w:rPr>
              <w:t>7.2</w:t>
            </w:r>
          </w:p>
        </w:tc>
        <w:tc>
          <w:tcPr>
            <w:tcW w:w="2128" w:type="dxa"/>
            <w:noWrap w:val="0"/>
            <w:vAlign w:val="center"/>
          </w:tcPr>
          <w:p w14:paraId="27621F86">
            <w:pPr>
              <w:spacing w:line="240" w:lineRule="auto"/>
              <w:jc w:val="center"/>
              <w:rPr>
                <w:rFonts w:hint="eastAsia" w:ascii="宋体" w:hAnsi="宋体" w:eastAsia="宋体" w:cs="宋体"/>
                <w:bCs/>
                <w:sz w:val="18"/>
                <w:szCs w:val="18"/>
              </w:rPr>
            </w:pPr>
            <w:r>
              <w:rPr>
                <w:rFonts w:hint="eastAsia" w:ascii="宋体" w:hAnsi="宋体" w:eastAsia="宋体" w:cs="宋体"/>
                <w:bCs/>
                <w:sz w:val="18"/>
                <w:szCs w:val="18"/>
              </w:rPr>
              <w:t>26.1</w:t>
            </w:r>
          </w:p>
        </w:tc>
      </w:tr>
      <w:tr w14:paraId="76B71D44">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2139" w:type="dxa"/>
            <w:noWrap w:val="0"/>
            <w:vAlign w:val="center"/>
          </w:tcPr>
          <w:p w14:paraId="0CC41305">
            <w:pPr>
              <w:spacing w:line="240" w:lineRule="auto"/>
              <w:jc w:val="center"/>
              <w:rPr>
                <w:rFonts w:hint="eastAsia" w:ascii="宋体" w:hAnsi="宋体" w:eastAsia="宋体" w:cs="宋体"/>
                <w:b/>
                <w:sz w:val="18"/>
                <w:szCs w:val="18"/>
              </w:rPr>
            </w:pPr>
            <w:r>
              <w:rPr>
                <w:rFonts w:hint="eastAsia" w:ascii="宋体" w:hAnsi="宋体" w:eastAsia="宋体" w:cs="宋体"/>
                <w:b/>
                <w:sz w:val="18"/>
                <w:szCs w:val="18"/>
              </w:rPr>
              <w:t>华中</w:t>
            </w:r>
          </w:p>
        </w:tc>
        <w:tc>
          <w:tcPr>
            <w:tcW w:w="2127" w:type="dxa"/>
            <w:noWrap w:val="0"/>
            <w:vAlign w:val="center"/>
          </w:tcPr>
          <w:p w14:paraId="28C9054F">
            <w:pPr>
              <w:spacing w:line="240" w:lineRule="auto"/>
              <w:jc w:val="center"/>
              <w:rPr>
                <w:rFonts w:hint="eastAsia" w:ascii="宋体" w:hAnsi="宋体" w:eastAsia="宋体" w:cs="宋体"/>
                <w:bCs/>
                <w:sz w:val="18"/>
                <w:szCs w:val="18"/>
              </w:rPr>
            </w:pPr>
            <w:r>
              <w:rPr>
                <w:rFonts w:hint="eastAsia" w:ascii="宋体" w:hAnsi="宋体" w:eastAsia="宋体" w:cs="宋体"/>
                <w:bCs/>
                <w:sz w:val="18"/>
                <w:szCs w:val="18"/>
              </w:rPr>
              <w:t>3139.9</w:t>
            </w:r>
          </w:p>
        </w:tc>
        <w:tc>
          <w:tcPr>
            <w:tcW w:w="2128" w:type="dxa"/>
            <w:noWrap w:val="0"/>
            <w:vAlign w:val="center"/>
          </w:tcPr>
          <w:p w14:paraId="4921D6D7">
            <w:pPr>
              <w:spacing w:line="240" w:lineRule="auto"/>
              <w:jc w:val="center"/>
              <w:rPr>
                <w:rFonts w:hint="eastAsia" w:ascii="宋体" w:hAnsi="宋体" w:eastAsia="宋体" w:cs="宋体"/>
                <w:bCs/>
                <w:sz w:val="18"/>
                <w:szCs w:val="18"/>
              </w:rPr>
            </w:pPr>
            <w:r>
              <w:rPr>
                <w:rFonts w:hint="eastAsia" w:ascii="宋体" w:hAnsi="宋体" w:eastAsia="宋体" w:cs="宋体"/>
                <w:bCs/>
                <w:sz w:val="18"/>
                <w:szCs w:val="18"/>
              </w:rPr>
              <w:t>9.0</w:t>
            </w:r>
          </w:p>
        </w:tc>
        <w:tc>
          <w:tcPr>
            <w:tcW w:w="2128" w:type="dxa"/>
            <w:noWrap w:val="0"/>
            <w:vAlign w:val="center"/>
          </w:tcPr>
          <w:p w14:paraId="284A1FA7">
            <w:pPr>
              <w:spacing w:line="240" w:lineRule="auto"/>
              <w:jc w:val="center"/>
              <w:rPr>
                <w:rFonts w:hint="eastAsia" w:ascii="宋体" w:hAnsi="宋体" w:eastAsia="宋体" w:cs="宋体"/>
                <w:bCs/>
                <w:sz w:val="18"/>
                <w:szCs w:val="18"/>
              </w:rPr>
            </w:pPr>
            <w:r>
              <w:rPr>
                <w:rFonts w:hint="eastAsia" w:ascii="宋体" w:hAnsi="宋体" w:eastAsia="宋体" w:cs="宋体"/>
                <w:bCs/>
                <w:sz w:val="18"/>
                <w:szCs w:val="18"/>
              </w:rPr>
              <w:t>24.6</w:t>
            </w:r>
          </w:p>
        </w:tc>
      </w:tr>
      <w:tr w14:paraId="29938C1D">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2139" w:type="dxa"/>
            <w:noWrap w:val="0"/>
            <w:vAlign w:val="center"/>
          </w:tcPr>
          <w:p w14:paraId="399E4376">
            <w:pPr>
              <w:spacing w:line="240" w:lineRule="auto"/>
              <w:jc w:val="center"/>
              <w:rPr>
                <w:rFonts w:hint="eastAsia" w:ascii="宋体" w:hAnsi="宋体" w:eastAsia="宋体" w:cs="宋体"/>
                <w:b/>
                <w:sz w:val="18"/>
                <w:szCs w:val="18"/>
              </w:rPr>
            </w:pPr>
            <w:r>
              <w:rPr>
                <w:rFonts w:hint="eastAsia" w:ascii="宋体" w:hAnsi="宋体" w:eastAsia="宋体" w:cs="宋体"/>
                <w:b/>
                <w:sz w:val="18"/>
                <w:szCs w:val="18"/>
              </w:rPr>
              <w:t>华南</w:t>
            </w:r>
          </w:p>
        </w:tc>
        <w:tc>
          <w:tcPr>
            <w:tcW w:w="2127" w:type="dxa"/>
            <w:noWrap w:val="0"/>
            <w:vAlign w:val="center"/>
          </w:tcPr>
          <w:p w14:paraId="1F04446B">
            <w:pPr>
              <w:spacing w:line="240" w:lineRule="auto"/>
              <w:jc w:val="center"/>
              <w:rPr>
                <w:rFonts w:hint="eastAsia" w:ascii="宋体" w:hAnsi="宋体" w:eastAsia="宋体" w:cs="宋体"/>
                <w:bCs/>
                <w:sz w:val="18"/>
                <w:szCs w:val="18"/>
              </w:rPr>
            </w:pPr>
            <w:r>
              <w:rPr>
                <w:rFonts w:hint="eastAsia" w:ascii="宋体" w:hAnsi="宋体" w:eastAsia="宋体" w:cs="宋体"/>
                <w:bCs/>
                <w:sz w:val="18"/>
                <w:szCs w:val="18"/>
              </w:rPr>
              <w:t>946.1</w:t>
            </w:r>
          </w:p>
        </w:tc>
        <w:tc>
          <w:tcPr>
            <w:tcW w:w="2128" w:type="dxa"/>
            <w:noWrap w:val="0"/>
            <w:vAlign w:val="center"/>
          </w:tcPr>
          <w:p w14:paraId="124F849A">
            <w:pPr>
              <w:spacing w:line="240" w:lineRule="auto"/>
              <w:jc w:val="center"/>
              <w:rPr>
                <w:rFonts w:hint="eastAsia" w:ascii="宋体" w:hAnsi="宋体" w:eastAsia="宋体" w:cs="宋体"/>
                <w:bCs/>
                <w:sz w:val="18"/>
                <w:szCs w:val="18"/>
              </w:rPr>
            </w:pPr>
            <w:r>
              <w:rPr>
                <w:rFonts w:hint="eastAsia" w:ascii="宋体" w:hAnsi="宋体" w:eastAsia="宋体" w:cs="宋体"/>
                <w:bCs/>
                <w:sz w:val="18"/>
                <w:szCs w:val="18"/>
              </w:rPr>
              <w:t>-0.8</w:t>
            </w:r>
          </w:p>
        </w:tc>
        <w:tc>
          <w:tcPr>
            <w:tcW w:w="2128" w:type="dxa"/>
            <w:noWrap w:val="0"/>
            <w:vAlign w:val="center"/>
          </w:tcPr>
          <w:p w14:paraId="4F111344">
            <w:pPr>
              <w:spacing w:line="240" w:lineRule="auto"/>
              <w:jc w:val="center"/>
              <w:rPr>
                <w:rFonts w:hint="eastAsia" w:ascii="宋体" w:hAnsi="宋体" w:eastAsia="宋体" w:cs="宋体"/>
                <w:bCs/>
                <w:sz w:val="18"/>
                <w:szCs w:val="18"/>
              </w:rPr>
            </w:pPr>
            <w:r>
              <w:rPr>
                <w:rFonts w:hint="eastAsia" w:ascii="宋体" w:hAnsi="宋体" w:eastAsia="宋体" w:cs="宋体"/>
                <w:bCs/>
                <w:sz w:val="18"/>
                <w:szCs w:val="18"/>
              </w:rPr>
              <w:t>7.4</w:t>
            </w:r>
          </w:p>
        </w:tc>
      </w:tr>
      <w:tr w14:paraId="5234CF86">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2139" w:type="dxa"/>
            <w:noWrap w:val="0"/>
            <w:vAlign w:val="center"/>
          </w:tcPr>
          <w:p w14:paraId="4F127F4E">
            <w:pPr>
              <w:spacing w:line="240" w:lineRule="auto"/>
              <w:jc w:val="center"/>
              <w:rPr>
                <w:rFonts w:hint="eastAsia" w:ascii="宋体" w:hAnsi="宋体" w:eastAsia="宋体" w:cs="宋体"/>
                <w:b/>
                <w:sz w:val="18"/>
                <w:szCs w:val="18"/>
              </w:rPr>
            </w:pPr>
            <w:r>
              <w:rPr>
                <w:rFonts w:hint="eastAsia" w:ascii="宋体" w:hAnsi="宋体" w:eastAsia="宋体" w:cs="宋体"/>
                <w:b/>
                <w:sz w:val="18"/>
                <w:szCs w:val="18"/>
              </w:rPr>
              <w:t>西南</w:t>
            </w:r>
          </w:p>
        </w:tc>
        <w:tc>
          <w:tcPr>
            <w:tcW w:w="2127" w:type="dxa"/>
            <w:noWrap w:val="0"/>
            <w:vAlign w:val="center"/>
          </w:tcPr>
          <w:p w14:paraId="22FF208A">
            <w:pPr>
              <w:spacing w:line="240" w:lineRule="auto"/>
              <w:jc w:val="center"/>
              <w:rPr>
                <w:rFonts w:hint="eastAsia" w:ascii="宋体" w:hAnsi="宋体" w:eastAsia="宋体" w:cs="宋体"/>
                <w:bCs/>
                <w:sz w:val="18"/>
                <w:szCs w:val="18"/>
              </w:rPr>
            </w:pPr>
            <w:r>
              <w:rPr>
                <w:rFonts w:hint="eastAsia" w:ascii="宋体" w:hAnsi="宋体" w:eastAsia="宋体" w:cs="宋体"/>
                <w:bCs/>
                <w:sz w:val="18"/>
                <w:szCs w:val="18"/>
              </w:rPr>
              <w:t>3289.0</w:t>
            </w:r>
          </w:p>
        </w:tc>
        <w:tc>
          <w:tcPr>
            <w:tcW w:w="2128" w:type="dxa"/>
            <w:noWrap w:val="0"/>
            <w:vAlign w:val="center"/>
          </w:tcPr>
          <w:p w14:paraId="050B3027">
            <w:pPr>
              <w:spacing w:line="240" w:lineRule="auto"/>
              <w:jc w:val="center"/>
              <w:rPr>
                <w:rFonts w:hint="eastAsia" w:ascii="宋体" w:hAnsi="宋体" w:eastAsia="宋体" w:cs="宋体"/>
                <w:bCs/>
                <w:sz w:val="18"/>
                <w:szCs w:val="18"/>
              </w:rPr>
            </w:pPr>
            <w:r>
              <w:rPr>
                <w:rFonts w:hint="eastAsia" w:ascii="宋体" w:hAnsi="宋体" w:eastAsia="宋体" w:cs="宋体"/>
                <w:bCs/>
                <w:sz w:val="18"/>
                <w:szCs w:val="18"/>
              </w:rPr>
              <w:t>0.5</w:t>
            </w:r>
          </w:p>
        </w:tc>
        <w:tc>
          <w:tcPr>
            <w:tcW w:w="2128" w:type="dxa"/>
            <w:noWrap w:val="0"/>
            <w:vAlign w:val="center"/>
          </w:tcPr>
          <w:p w14:paraId="26C58096">
            <w:pPr>
              <w:spacing w:line="240" w:lineRule="auto"/>
              <w:jc w:val="center"/>
              <w:rPr>
                <w:rFonts w:hint="eastAsia" w:ascii="宋体" w:hAnsi="宋体" w:eastAsia="宋体" w:cs="宋体"/>
                <w:bCs/>
                <w:sz w:val="18"/>
                <w:szCs w:val="18"/>
              </w:rPr>
            </w:pPr>
            <w:r>
              <w:rPr>
                <w:rFonts w:hint="eastAsia" w:ascii="宋体" w:hAnsi="宋体" w:eastAsia="宋体" w:cs="宋体"/>
                <w:bCs/>
                <w:sz w:val="18"/>
                <w:szCs w:val="18"/>
              </w:rPr>
              <w:t>25.7</w:t>
            </w:r>
          </w:p>
        </w:tc>
      </w:tr>
      <w:tr w14:paraId="2CD50BF4">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2139" w:type="dxa"/>
            <w:noWrap w:val="0"/>
            <w:vAlign w:val="center"/>
          </w:tcPr>
          <w:p w14:paraId="0DFD7C2B">
            <w:pPr>
              <w:spacing w:line="240" w:lineRule="auto"/>
              <w:jc w:val="center"/>
              <w:rPr>
                <w:rFonts w:hint="eastAsia" w:ascii="宋体" w:hAnsi="宋体" w:eastAsia="宋体" w:cs="宋体"/>
                <w:b/>
                <w:sz w:val="18"/>
                <w:szCs w:val="18"/>
              </w:rPr>
            </w:pPr>
            <w:r>
              <w:rPr>
                <w:rFonts w:hint="eastAsia" w:ascii="宋体" w:hAnsi="宋体" w:eastAsia="宋体" w:cs="宋体"/>
                <w:b/>
                <w:sz w:val="18"/>
                <w:szCs w:val="18"/>
              </w:rPr>
              <w:t>西北</w:t>
            </w:r>
          </w:p>
        </w:tc>
        <w:tc>
          <w:tcPr>
            <w:tcW w:w="2127" w:type="dxa"/>
            <w:noWrap w:val="0"/>
            <w:vAlign w:val="center"/>
          </w:tcPr>
          <w:p w14:paraId="4EC8B60C">
            <w:pPr>
              <w:spacing w:line="240" w:lineRule="auto"/>
              <w:jc w:val="center"/>
              <w:rPr>
                <w:rFonts w:hint="eastAsia" w:ascii="宋体" w:hAnsi="宋体" w:eastAsia="宋体" w:cs="宋体"/>
                <w:bCs/>
                <w:sz w:val="18"/>
                <w:szCs w:val="18"/>
              </w:rPr>
            </w:pPr>
            <w:r>
              <w:rPr>
                <w:rFonts w:hint="eastAsia" w:ascii="宋体" w:hAnsi="宋体" w:eastAsia="宋体" w:cs="宋体"/>
                <w:bCs/>
                <w:sz w:val="18"/>
                <w:szCs w:val="18"/>
              </w:rPr>
              <w:t>868.9</w:t>
            </w:r>
          </w:p>
        </w:tc>
        <w:tc>
          <w:tcPr>
            <w:tcW w:w="2128" w:type="dxa"/>
            <w:noWrap w:val="0"/>
            <w:vAlign w:val="center"/>
          </w:tcPr>
          <w:p w14:paraId="4DA0E2F2">
            <w:pPr>
              <w:spacing w:line="240" w:lineRule="auto"/>
              <w:jc w:val="center"/>
              <w:rPr>
                <w:rFonts w:hint="eastAsia" w:ascii="宋体" w:hAnsi="宋体" w:eastAsia="宋体" w:cs="宋体"/>
                <w:bCs/>
                <w:sz w:val="18"/>
                <w:szCs w:val="18"/>
              </w:rPr>
            </w:pPr>
            <w:r>
              <w:rPr>
                <w:rFonts w:hint="eastAsia" w:ascii="宋体" w:hAnsi="宋体" w:eastAsia="宋体" w:cs="宋体"/>
                <w:bCs/>
                <w:sz w:val="18"/>
                <w:szCs w:val="18"/>
              </w:rPr>
              <w:t>6.4</w:t>
            </w:r>
          </w:p>
        </w:tc>
        <w:tc>
          <w:tcPr>
            <w:tcW w:w="2128" w:type="dxa"/>
            <w:noWrap w:val="0"/>
            <w:vAlign w:val="center"/>
          </w:tcPr>
          <w:p w14:paraId="5F0453C6">
            <w:pPr>
              <w:spacing w:line="240" w:lineRule="auto"/>
              <w:jc w:val="center"/>
              <w:rPr>
                <w:rFonts w:hint="eastAsia" w:ascii="宋体" w:hAnsi="宋体" w:eastAsia="宋体" w:cs="宋体"/>
                <w:bCs/>
                <w:sz w:val="18"/>
                <w:szCs w:val="18"/>
              </w:rPr>
            </w:pPr>
            <w:r>
              <w:rPr>
                <w:rFonts w:hint="eastAsia" w:ascii="宋体" w:hAnsi="宋体" w:eastAsia="宋体" w:cs="宋体"/>
                <w:bCs/>
                <w:sz w:val="18"/>
                <w:szCs w:val="18"/>
              </w:rPr>
              <w:t>6.8</w:t>
            </w:r>
          </w:p>
        </w:tc>
      </w:tr>
    </w:tbl>
    <w:p w14:paraId="10CD9A44">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14" w:name="_Toc230102047"/>
      <w:r>
        <w:rPr>
          <w:rFonts w:hint="eastAsia" w:ascii="宋体" w:hAnsi="宋体" w:eastAsia="宋体" w:cs="宋体"/>
          <w:b/>
          <w:bCs/>
          <w:sz w:val="21"/>
          <w:szCs w:val="21"/>
          <w:lang w:val="en-US" w:eastAsia="zh-CN"/>
        </w:rPr>
        <w:t>5.产量前十名企业</w:t>
      </w:r>
      <w:bookmarkEnd w:id="14"/>
    </w:p>
    <w:p w14:paraId="2D521011">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据协会统计，2025年我国硫酸产量前10名企业产量合计5411万吨，同比上升10.4%，占硫酸总产量的42.3%，同比上升1.9个百分点。分品种看，硫黄制酸前十名企业产量同比上升6.1%，冶炼烟气制酸前十名企业产量同比上升14.8%，硫铁矿制酸前十名企业产量同比上升7.6%。</w:t>
      </w:r>
    </w:p>
    <w:p w14:paraId="0E843787">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（注：该部分数据已合并各集团子公司产量）</w:t>
      </w:r>
      <w:bookmarkStart w:id="64" w:name="_GoBack"/>
      <w:bookmarkEnd w:id="64"/>
    </w:p>
    <w:p w14:paraId="47F23FAB">
      <w:pPr>
        <w:pageBreakBefore w:val="0"/>
        <w:kinsoku/>
        <w:wordWrap/>
        <w:overflowPunct/>
        <w:topLinePunct w:val="0"/>
        <w:autoSpaceDE/>
        <w:autoSpaceDN/>
        <w:bidi w:val="0"/>
        <w:spacing w:line="400" w:lineRule="exact"/>
        <w:jc w:val="center"/>
        <w:textAlignment w:val="auto"/>
        <w:rPr>
          <w:rFonts w:hint="eastAsia" w:ascii="宋体" w:hAnsi="宋体" w:eastAsia="宋体" w:cs="宋体"/>
          <w:b/>
          <w:sz w:val="21"/>
          <w:szCs w:val="21"/>
        </w:rPr>
      </w:pPr>
      <w:bookmarkStart w:id="15" w:name="_Hlk72421449"/>
      <w:r>
        <w:rPr>
          <w:rFonts w:hint="eastAsia" w:ascii="宋体" w:hAnsi="宋体" w:eastAsia="宋体" w:cs="宋体"/>
          <w:b/>
          <w:sz w:val="21"/>
          <w:szCs w:val="21"/>
        </w:rPr>
        <w:t>表</w:t>
      </w:r>
      <w:r>
        <w:rPr>
          <w:rFonts w:hint="eastAsia" w:ascii="宋体" w:hAnsi="宋体" w:eastAsia="宋体" w:cs="宋体"/>
          <w:b/>
          <w:sz w:val="21"/>
          <w:szCs w:val="21"/>
          <w:lang w:val="en-US" w:eastAsia="zh-CN"/>
        </w:rPr>
        <w:t>3</w:t>
      </w:r>
      <w:r>
        <w:rPr>
          <w:rFonts w:hint="eastAsia" w:ascii="宋体" w:hAnsi="宋体" w:eastAsia="宋体" w:cs="宋体"/>
          <w:b/>
          <w:sz w:val="21"/>
          <w:szCs w:val="21"/>
        </w:rPr>
        <w:t xml:space="preserve"> 2025年我国硫酸产量前十名企业（单位：万吨）</w:t>
      </w:r>
    </w:p>
    <w:bookmarkEnd w:id="15"/>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25"/>
        <w:gridCol w:w="4780"/>
        <w:gridCol w:w="1817"/>
      </w:tblGrid>
      <w:tr w14:paraId="74C8C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925" w:type="dxa"/>
            <w:noWrap w:val="0"/>
            <w:vAlign w:val="center"/>
          </w:tcPr>
          <w:p w14:paraId="674DF9DD">
            <w:pPr>
              <w:spacing w:line="240" w:lineRule="auto"/>
              <w:jc w:val="center"/>
              <w:rPr>
                <w:rFonts w:hint="eastAsia" w:ascii="宋体" w:hAnsi="宋体" w:eastAsia="宋体" w:cs="宋体"/>
                <w:b/>
                <w:bCs/>
                <w:sz w:val="18"/>
                <w:szCs w:val="18"/>
              </w:rPr>
            </w:pPr>
            <w:r>
              <w:rPr>
                <w:rFonts w:hint="eastAsia" w:ascii="宋体" w:hAnsi="宋体" w:eastAsia="宋体" w:cs="宋体"/>
                <w:b/>
                <w:bCs/>
                <w:sz w:val="18"/>
                <w:szCs w:val="18"/>
              </w:rPr>
              <w:t>排名</w:t>
            </w:r>
          </w:p>
        </w:tc>
        <w:tc>
          <w:tcPr>
            <w:tcW w:w="4780" w:type="dxa"/>
            <w:noWrap w:val="0"/>
            <w:vAlign w:val="center"/>
          </w:tcPr>
          <w:p w14:paraId="2C764D93">
            <w:pPr>
              <w:spacing w:line="240" w:lineRule="auto"/>
              <w:jc w:val="center"/>
              <w:rPr>
                <w:rFonts w:hint="eastAsia" w:ascii="宋体" w:hAnsi="宋体" w:eastAsia="宋体" w:cs="宋体"/>
                <w:b/>
                <w:bCs/>
                <w:sz w:val="18"/>
                <w:szCs w:val="18"/>
              </w:rPr>
            </w:pPr>
            <w:r>
              <w:rPr>
                <w:rFonts w:hint="eastAsia" w:ascii="宋体" w:hAnsi="宋体" w:eastAsia="宋体" w:cs="宋体"/>
                <w:b/>
                <w:bCs/>
                <w:sz w:val="18"/>
                <w:szCs w:val="18"/>
              </w:rPr>
              <w:t>企业名称</w:t>
            </w:r>
          </w:p>
        </w:tc>
        <w:tc>
          <w:tcPr>
            <w:tcW w:w="1817" w:type="dxa"/>
            <w:noWrap w:val="0"/>
            <w:vAlign w:val="center"/>
          </w:tcPr>
          <w:p w14:paraId="6B28071C">
            <w:pPr>
              <w:spacing w:line="240" w:lineRule="auto"/>
              <w:jc w:val="center"/>
              <w:rPr>
                <w:rFonts w:hint="eastAsia" w:ascii="宋体" w:hAnsi="宋体" w:eastAsia="宋体" w:cs="宋体"/>
                <w:b/>
                <w:bCs/>
                <w:sz w:val="18"/>
                <w:szCs w:val="18"/>
              </w:rPr>
            </w:pPr>
            <w:r>
              <w:rPr>
                <w:rFonts w:hint="eastAsia" w:ascii="宋体" w:hAnsi="宋体" w:eastAsia="宋体" w:cs="宋体"/>
                <w:b/>
                <w:bCs/>
                <w:sz w:val="18"/>
                <w:szCs w:val="18"/>
              </w:rPr>
              <w:t>产量</w:t>
            </w:r>
          </w:p>
        </w:tc>
      </w:tr>
      <w:tr w14:paraId="7099E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925" w:type="dxa"/>
            <w:noWrap w:val="0"/>
            <w:vAlign w:val="center"/>
          </w:tcPr>
          <w:p w14:paraId="696731FA">
            <w:pPr>
              <w:spacing w:line="240" w:lineRule="auto"/>
              <w:jc w:val="center"/>
              <w:rPr>
                <w:rFonts w:hint="eastAsia" w:ascii="宋体" w:hAnsi="宋体" w:eastAsia="宋体" w:cs="宋体"/>
                <w:bCs/>
                <w:sz w:val="18"/>
                <w:szCs w:val="18"/>
              </w:rPr>
            </w:pPr>
            <w:r>
              <w:rPr>
                <w:rFonts w:hint="eastAsia" w:ascii="宋体" w:hAnsi="宋体" w:eastAsia="宋体" w:cs="宋体"/>
                <w:bCs/>
                <w:sz w:val="18"/>
                <w:szCs w:val="18"/>
              </w:rPr>
              <w:t>1</w:t>
            </w:r>
          </w:p>
        </w:tc>
        <w:tc>
          <w:tcPr>
            <w:tcW w:w="4780" w:type="dxa"/>
            <w:noWrap w:val="0"/>
            <w:vAlign w:val="center"/>
          </w:tcPr>
          <w:p w14:paraId="1A3D50AC">
            <w:pPr>
              <w:spacing w:line="240" w:lineRule="auto"/>
              <w:jc w:val="center"/>
              <w:rPr>
                <w:rFonts w:hint="eastAsia" w:ascii="宋体" w:hAnsi="宋体" w:eastAsia="宋体" w:cs="宋体"/>
                <w:bCs/>
                <w:sz w:val="18"/>
                <w:szCs w:val="18"/>
              </w:rPr>
            </w:pPr>
            <w:r>
              <w:rPr>
                <w:rFonts w:hint="eastAsia" w:ascii="宋体" w:hAnsi="宋体" w:eastAsia="宋体" w:cs="宋体"/>
                <w:bCs/>
                <w:sz w:val="18"/>
                <w:szCs w:val="18"/>
              </w:rPr>
              <w:t>云天化集团有限责任公司</w:t>
            </w:r>
          </w:p>
        </w:tc>
        <w:tc>
          <w:tcPr>
            <w:tcW w:w="1817" w:type="dxa"/>
            <w:noWrap w:val="0"/>
            <w:vAlign w:val="center"/>
          </w:tcPr>
          <w:p w14:paraId="6F4FD807">
            <w:pPr>
              <w:spacing w:line="240" w:lineRule="auto"/>
              <w:jc w:val="center"/>
              <w:rPr>
                <w:rFonts w:hint="eastAsia" w:ascii="宋体" w:hAnsi="宋体" w:eastAsia="宋体" w:cs="宋体"/>
                <w:bCs/>
                <w:sz w:val="18"/>
                <w:szCs w:val="18"/>
              </w:rPr>
            </w:pPr>
            <w:r>
              <w:rPr>
                <w:rFonts w:hint="eastAsia" w:ascii="宋体" w:hAnsi="宋体" w:eastAsia="宋体" w:cs="宋体"/>
                <w:bCs/>
                <w:sz w:val="18"/>
                <w:szCs w:val="18"/>
              </w:rPr>
              <w:t>848</w:t>
            </w:r>
          </w:p>
        </w:tc>
      </w:tr>
      <w:tr w14:paraId="0818B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925" w:type="dxa"/>
            <w:noWrap w:val="0"/>
            <w:vAlign w:val="center"/>
          </w:tcPr>
          <w:p w14:paraId="4A4B278F">
            <w:pPr>
              <w:spacing w:line="240" w:lineRule="auto"/>
              <w:jc w:val="center"/>
              <w:rPr>
                <w:rFonts w:hint="eastAsia" w:ascii="宋体" w:hAnsi="宋体" w:eastAsia="宋体" w:cs="宋体"/>
                <w:bCs/>
                <w:sz w:val="18"/>
                <w:szCs w:val="18"/>
              </w:rPr>
            </w:pPr>
            <w:r>
              <w:rPr>
                <w:rFonts w:hint="eastAsia" w:ascii="宋体" w:hAnsi="宋体" w:eastAsia="宋体" w:cs="宋体"/>
                <w:bCs/>
                <w:sz w:val="18"/>
                <w:szCs w:val="18"/>
              </w:rPr>
              <w:t>2</w:t>
            </w:r>
          </w:p>
        </w:tc>
        <w:tc>
          <w:tcPr>
            <w:tcW w:w="4780" w:type="dxa"/>
            <w:noWrap w:val="0"/>
            <w:vAlign w:val="center"/>
          </w:tcPr>
          <w:p w14:paraId="0B878650">
            <w:pPr>
              <w:spacing w:line="240" w:lineRule="auto"/>
              <w:jc w:val="center"/>
              <w:rPr>
                <w:rFonts w:hint="eastAsia" w:ascii="宋体" w:hAnsi="宋体" w:eastAsia="宋体" w:cs="宋体"/>
                <w:bCs/>
                <w:sz w:val="18"/>
                <w:szCs w:val="18"/>
              </w:rPr>
            </w:pPr>
            <w:r>
              <w:rPr>
                <w:rFonts w:hint="eastAsia" w:ascii="宋体" w:hAnsi="宋体" w:eastAsia="宋体" w:cs="宋体"/>
                <w:bCs/>
                <w:sz w:val="18"/>
                <w:szCs w:val="18"/>
              </w:rPr>
              <w:t>江西铜业集团有限公司</w:t>
            </w:r>
          </w:p>
        </w:tc>
        <w:tc>
          <w:tcPr>
            <w:tcW w:w="1817" w:type="dxa"/>
            <w:noWrap w:val="0"/>
            <w:vAlign w:val="center"/>
          </w:tcPr>
          <w:p w14:paraId="655F6D3A">
            <w:pPr>
              <w:spacing w:line="240" w:lineRule="auto"/>
              <w:jc w:val="center"/>
              <w:rPr>
                <w:rFonts w:hint="eastAsia" w:ascii="宋体" w:hAnsi="宋体" w:eastAsia="宋体" w:cs="宋体"/>
                <w:bCs/>
                <w:sz w:val="18"/>
                <w:szCs w:val="18"/>
              </w:rPr>
            </w:pPr>
            <w:r>
              <w:rPr>
                <w:rFonts w:hint="eastAsia" w:ascii="宋体" w:hAnsi="宋体" w:eastAsia="宋体" w:cs="宋体"/>
                <w:bCs/>
                <w:sz w:val="18"/>
                <w:szCs w:val="18"/>
              </w:rPr>
              <w:t>745</w:t>
            </w:r>
          </w:p>
        </w:tc>
      </w:tr>
      <w:tr w14:paraId="2ED41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925" w:type="dxa"/>
            <w:noWrap w:val="0"/>
            <w:vAlign w:val="center"/>
          </w:tcPr>
          <w:p w14:paraId="0AEEE3B7">
            <w:pPr>
              <w:spacing w:line="240" w:lineRule="auto"/>
              <w:jc w:val="center"/>
              <w:rPr>
                <w:rFonts w:hint="eastAsia" w:ascii="宋体" w:hAnsi="宋体" w:eastAsia="宋体" w:cs="宋体"/>
                <w:bCs/>
                <w:sz w:val="18"/>
                <w:szCs w:val="18"/>
              </w:rPr>
            </w:pPr>
            <w:r>
              <w:rPr>
                <w:rFonts w:hint="eastAsia" w:ascii="宋体" w:hAnsi="宋体" w:eastAsia="宋体" w:cs="宋体"/>
                <w:bCs/>
                <w:sz w:val="18"/>
                <w:szCs w:val="18"/>
              </w:rPr>
              <w:t>3</w:t>
            </w:r>
          </w:p>
        </w:tc>
        <w:tc>
          <w:tcPr>
            <w:tcW w:w="4780" w:type="dxa"/>
            <w:noWrap w:val="0"/>
            <w:vAlign w:val="center"/>
          </w:tcPr>
          <w:p w14:paraId="54DF24CC">
            <w:pPr>
              <w:spacing w:line="240" w:lineRule="auto"/>
              <w:jc w:val="center"/>
              <w:rPr>
                <w:rFonts w:hint="eastAsia" w:ascii="宋体" w:hAnsi="宋体" w:eastAsia="宋体" w:cs="宋体"/>
                <w:bCs/>
                <w:sz w:val="18"/>
                <w:szCs w:val="18"/>
              </w:rPr>
            </w:pPr>
            <w:r>
              <w:rPr>
                <w:rFonts w:hint="eastAsia" w:ascii="宋体" w:hAnsi="宋体" w:eastAsia="宋体" w:cs="宋体"/>
                <w:bCs/>
                <w:sz w:val="18"/>
                <w:szCs w:val="18"/>
              </w:rPr>
              <w:t>铜陵有色金属集团控股有限公司</w:t>
            </w:r>
          </w:p>
        </w:tc>
        <w:tc>
          <w:tcPr>
            <w:tcW w:w="1817" w:type="dxa"/>
            <w:noWrap w:val="0"/>
            <w:vAlign w:val="center"/>
          </w:tcPr>
          <w:p w14:paraId="29038E34">
            <w:pPr>
              <w:spacing w:line="240" w:lineRule="auto"/>
              <w:jc w:val="center"/>
              <w:rPr>
                <w:rFonts w:hint="eastAsia" w:ascii="宋体" w:hAnsi="宋体" w:eastAsia="宋体" w:cs="宋体"/>
                <w:bCs/>
                <w:sz w:val="18"/>
                <w:szCs w:val="18"/>
              </w:rPr>
            </w:pPr>
            <w:r>
              <w:rPr>
                <w:rFonts w:hint="eastAsia" w:ascii="宋体" w:hAnsi="宋体" w:eastAsia="宋体" w:cs="宋体"/>
                <w:bCs/>
                <w:sz w:val="18"/>
                <w:szCs w:val="18"/>
              </w:rPr>
              <w:t>687</w:t>
            </w:r>
          </w:p>
        </w:tc>
      </w:tr>
      <w:tr w14:paraId="53398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925" w:type="dxa"/>
            <w:noWrap w:val="0"/>
            <w:vAlign w:val="center"/>
          </w:tcPr>
          <w:p w14:paraId="2524DBB8">
            <w:pPr>
              <w:spacing w:line="240" w:lineRule="auto"/>
              <w:jc w:val="center"/>
              <w:rPr>
                <w:rFonts w:hint="eastAsia" w:ascii="宋体" w:hAnsi="宋体" w:eastAsia="宋体" w:cs="宋体"/>
                <w:bCs/>
                <w:sz w:val="18"/>
                <w:szCs w:val="18"/>
              </w:rPr>
            </w:pPr>
            <w:r>
              <w:rPr>
                <w:rFonts w:hint="eastAsia" w:ascii="宋体" w:hAnsi="宋体" w:eastAsia="宋体" w:cs="宋体"/>
                <w:bCs/>
                <w:sz w:val="18"/>
                <w:szCs w:val="18"/>
              </w:rPr>
              <w:t>4</w:t>
            </w:r>
          </w:p>
        </w:tc>
        <w:tc>
          <w:tcPr>
            <w:tcW w:w="4780" w:type="dxa"/>
            <w:noWrap w:val="0"/>
            <w:vAlign w:val="center"/>
          </w:tcPr>
          <w:p w14:paraId="456B1ADB">
            <w:pPr>
              <w:spacing w:line="240" w:lineRule="auto"/>
              <w:jc w:val="center"/>
              <w:rPr>
                <w:rFonts w:hint="eastAsia" w:ascii="宋体" w:hAnsi="宋体" w:eastAsia="宋体" w:cs="宋体"/>
                <w:bCs/>
                <w:sz w:val="18"/>
                <w:szCs w:val="18"/>
              </w:rPr>
            </w:pPr>
            <w:r>
              <w:rPr>
                <w:rFonts w:hint="eastAsia" w:ascii="宋体" w:hAnsi="宋体" w:eastAsia="宋体" w:cs="宋体"/>
                <w:bCs/>
                <w:sz w:val="18"/>
                <w:szCs w:val="18"/>
              </w:rPr>
              <w:t>贵州磷化（集团）有限责任公司</w:t>
            </w:r>
          </w:p>
        </w:tc>
        <w:tc>
          <w:tcPr>
            <w:tcW w:w="1817" w:type="dxa"/>
            <w:noWrap w:val="0"/>
            <w:vAlign w:val="center"/>
          </w:tcPr>
          <w:p w14:paraId="325EF09E">
            <w:pPr>
              <w:spacing w:line="240" w:lineRule="auto"/>
              <w:jc w:val="center"/>
              <w:rPr>
                <w:rFonts w:hint="eastAsia" w:ascii="宋体" w:hAnsi="宋体" w:eastAsia="宋体" w:cs="宋体"/>
                <w:bCs/>
                <w:sz w:val="18"/>
                <w:szCs w:val="18"/>
              </w:rPr>
            </w:pPr>
            <w:r>
              <w:rPr>
                <w:rFonts w:hint="eastAsia" w:ascii="宋体" w:hAnsi="宋体" w:eastAsia="宋体" w:cs="宋体"/>
                <w:bCs/>
                <w:sz w:val="18"/>
                <w:szCs w:val="18"/>
              </w:rPr>
              <w:t>631</w:t>
            </w:r>
          </w:p>
        </w:tc>
      </w:tr>
      <w:tr w14:paraId="581B7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925" w:type="dxa"/>
            <w:noWrap w:val="0"/>
            <w:vAlign w:val="center"/>
          </w:tcPr>
          <w:p w14:paraId="7D747B2A">
            <w:pPr>
              <w:spacing w:line="240" w:lineRule="auto"/>
              <w:jc w:val="center"/>
              <w:rPr>
                <w:rFonts w:hint="eastAsia" w:ascii="宋体" w:hAnsi="宋体" w:eastAsia="宋体" w:cs="宋体"/>
                <w:bCs/>
                <w:sz w:val="18"/>
                <w:szCs w:val="18"/>
              </w:rPr>
            </w:pPr>
            <w:r>
              <w:rPr>
                <w:rFonts w:hint="eastAsia" w:ascii="宋体" w:hAnsi="宋体" w:eastAsia="宋体" w:cs="宋体"/>
                <w:bCs/>
                <w:sz w:val="18"/>
                <w:szCs w:val="18"/>
              </w:rPr>
              <w:t>5</w:t>
            </w:r>
          </w:p>
        </w:tc>
        <w:tc>
          <w:tcPr>
            <w:tcW w:w="4780" w:type="dxa"/>
            <w:noWrap w:val="0"/>
            <w:vAlign w:val="center"/>
          </w:tcPr>
          <w:p w14:paraId="2B87C983">
            <w:pPr>
              <w:spacing w:line="240" w:lineRule="auto"/>
              <w:jc w:val="center"/>
              <w:rPr>
                <w:rFonts w:hint="eastAsia" w:ascii="宋体" w:hAnsi="宋体" w:eastAsia="宋体" w:cs="宋体"/>
                <w:bCs/>
                <w:sz w:val="18"/>
                <w:szCs w:val="18"/>
              </w:rPr>
            </w:pPr>
            <w:r>
              <w:rPr>
                <w:rFonts w:hint="eastAsia" w:ascii="宋体" w:hAnsi="宋体" w:eastAsia="宋体" w:cs="宋体"/>
                <w:bCs/>
                <w:sz w:val="18"/>
                <w:szCs w:val="18"/>
              </w:rPr>
              <w:t>金川集团有限公司</w:t>
            </w:r>
          </w:p>
        </w:tc>
        <w:tc>
          <w:tcPr>
            <w:tcW w:w="1817" w:type="dxa"/>
            <w:noWrap w:val="0"/>
            <w:vAlign w:val="center"/>
          </w:tcPr>
          <w:p w14:paraId="779DFE0F">
            <w:pPr>
              <w:spacing w:line="240" w:lineRule="auto"/>
              <w:jc w:val="center"/>
              <w:rPr>
                <w:rFonts w:hint="eastAsia" w:ascii="宋体" w:hAnsi="宋体" w:eastAsia="宋体" w:cs="宋体"/>
                <w:bCs/>
                <w:sz w:val="18"/>
                <w:szCs w:val="18"/>
              </w:rPr>
            </w:pPr>
            <w:r>
              <w:rPr>
                <w:rFonts w:hint="eastAsia" w:ascii="宋体" w:hAnsi="宋体" w:eastAsia="宋体" w:cs="宋体"/>
                <w:bCs/>
                <w:sz w:val="18"/>
                <w:szCs w:val="18"/>
              </w:rPr>
              <w:t>609</w:t>
            </w:r>
          </w:p>
        </w:tc>
      </w:tr>
      <w:tr w14:paraId="77E02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925" w:type="dxa"/>
            <w:noWrap w:val="0"/>
            <w:vAlign w:val="center"/>
          </w:tcPr>
          <w:p w14:paraId="64E8D15C">
            <w:pPr>
              <w:spacing w:line="240" w:lineRule="auto"/>
              <w:jc w:val="center"/>
              <w:rPr>
                <w:rFonts w:hint="eastAsia" w:ascii="宋体" w:hAnsi="宋体" w:eastAsia="宋体" w:cs="宋体"/>
                <w:bCs/>
                <w:sz w:val="18"/>
                <w:szCs w:val="18"/>
              </w:rPr>
            </w:pPr>
            <w:r>
              <w:rPr>
                <w:rFonts w:hint="eastAsia" w:ascii="宋体" w:hAnsi="宋体" w:eastAsia="宋体" w:cs="宋体"/>
                <w:bCs/>
                <w:sz w:val="18"/>
                <w:szCs w:val="18"/>
              </w:rPr>
              <w:t>6</w:t>
            </w:r>
          </w:p>
        </w:tc>
        <w:tc>
          <w:tcPr>
            <w:tcW w:w="4780" w:type="dxa"/>
            <w:noWrap w:val="0"/>
            <w:vAlign w:val="center"/>
          </w:tcPr>
          <w:p w14:paraId="4234B099">
            <w:pPr>
              <w:spacing w:line="240" w:lineRule="auto"/>
              <w:jc w:val="center"/>
              <w:rPr>
                <w:rFonts w:hint="eastAsia" w:ascii="宋体" w:hAnsi="宋体" w:eastAsia="宋体" w:cs="宋体"/>
                <w:bCs/>
                <w:sz w:val="18"/>
                <w:szCs w:val="18"/>
              </w:rPr>
            </w:pPr>
            <w:r>
              <w:rPr>
                <w:rFonts w:hint="eastAsia" w:ascii="宋体" w:hAnsi="宋体" w:eastAsia="宋体" w:cs="宋体"/>
                <w:bCs/>
                <w:sz w:val="18"/>
                <w:szCs w:val="18"/>
              </w:rPr>
              <w:t>云南铜业股份有限公司</w:t>
            </w:r>
          </w:p>
        </w:tc>
        <w:tc>
          <w:tcPr>
            <w:tcW w:w="1817" w:type="dxa"/>
            <w:noWrap w:val="0"/>
            <w:vAlign w:val="center"/>
          </w:tcPr>
          <w:p w14:paraId="59D8A52D">
            <w:pPr>
              <w:spacing w:line="240" w:lineRule="auto"/>
              <w:jc w:val="center"/>
              <w:rPr>
                <w:rFonts w:hint="eastAsia" w:ascii="宋体" w:hAnsi="宋体" w:eastAsia="宋体" w:cs="宋体"/>
                <w:bCs/>
                <w:sz w:val="18"/>
                <w:szCs w:val="18"/>
              </w:rPr>
            </w:pPr>
            <w:r>
              <w:rPr>
                <w:rFonts w:hint="eastAsia" w:ascii="宋体" w:hAnsi="宋体" w:eastAsia="宋体" w:cs="宋体"/>
                <w:bCs/>
                <w:sz w:val="18"/>
                <w:szCs w:val="18"/>
              </w:rPr>
              <w:t>608</w:t>
            </w:r>
          </w:p>
        </w:tc>
      </w:tr>
      <w:tr w14:paraId="7680F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925" w:type="dxa"/>
            <w:noWrap w:val="0"/>
            <w:vAlign w:val="center"/>
          </w:tcPr>
          <w:p w14:paraId="1B36D18A">
            <w:pPr>
              <w:spacing w:line="240" w:lineRule="auto"/>
              <w:jc w:val="center"/>
              <w:rPr>
                <w:rFonts w:hint="eastAsia" w:ascii="宋体" w:hAnsi="宋体" w:eastAsia="宋体" w:cs="宋体"/>
                <w:bCs/>
                <w:sz w:val="18"/>
                <w:szCs w:val="18"/>
              </w:rPr>
            </w:pPr>
            <w:r>
              <w:rPr>
                <w:rFonts w:hint="eastAsia" w:ascii="宋体" w:hAnsi="宋体" w:eastAsia="宋体" w:cs="宋体"/>
                <w:bCs/>
                <w:sz w:val="18"/>
                <w:szCs w:val="18"/>
              </w:rPr>
              <w:t>7</w:t>
            </w:r>
          </w:p>
        </w:tc>
        <w:tc>
          <w:tcPr>
            <w:tcW w:w="4780" w:type="dxa"/>
            <w:noWrap w:val="0"/>
            <w:vAlign w:val="center"/>
          </w:tcPr>
          <w:p w14:paraId="50BE4EE7">
            <w:pPr>
              <w:spacing w:line="240" w:lineRule="auto"/>
              <w:jc w:val="center"/>
              <w:rPr>
                <w:rFonts w:hint="eastAsia" w:ascii="宋体" w:hAnsi="宋体" w:eastAsia="宋体" w:cs="宋体"/>
                <w:bCs/>
                <w:sz w:val="18"/>
                <w:szCs w:val="18"/>
              </w:rPr>
            </w:pPr>
            <w:r>
              <w:rPr>
                <w:rFonts w:hint="eastAsia" w:ascii="宋体" w:hAnsi="宋体" w:eastAsia="宋体" w:cs="宋体"/>
                <w:bCs/>
                <w:sz w:val="18"/>
                <w:szCs w:val="18"/>
              </w:rPr>
              <w:t>湖北宜化集团有限责任公司</w:t>
            </w:r>
          </w:p>
        </w:tc>
        <w:tc>
          <w:tcPr>
            <w:tcW w:w="1817" w:type="dxa"/>
            <w:noWrap w:val="0"/>
            <w:vAlign w:val="center"/>
          </w:tcPr>
          <w:p w14:paraId="3B9104CF">
            <w:pPr>
              <w:spacing w:line="240" w:lineRule="auto"/>
              <w:jc w:val="center"/>
              <w:rPr>
                <w:rFonts w:hint="eastAsia" w:ascii="宋体" w:hAnsi="宋体" w:eastAsia="宋体" w:cs="宋体"/>
                <w:bCs/>
                <w:sz w:val="18"/>
                <w:szCs w:val="18"/>
              </w:rPr>
            </w:pPr>
            <w:r>
              <w:rPr>
                <w:rFonts w:hint="eastAsia" w:ascii="宋体" w:hAnsi="宋体" w:eastAsia="宋体" w:cs="宋体"/>
                <w:bCs/>
                <w:sz w:val="18"/>
                <w:szCs w:val="18"/>
              </w:rPr>
              <w:t>401</w:t>
            </w:r>
          </w:p>
        </w:tc>
      </w:tr>
      <w:tr w14:paraId="43E2A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925" w:type="dxa"/>
            <w:noWrap w:val="0"/>
            <w:vAlign w:val="center"/>
          </w:tcPr>
          <w:p w14:paraId="4EA7FB30">
            <w:pPr>
              <w:spacing w:line="240" w:lineRule="auto"/>
              <w:jc w:val="center"/>
              <w:rPr>
                <w:rFonts w:hint="eastAsia" w:ascii="宋体" w:hAnsi="宋体" w:eastAsia="宋体" w:cs="宋体"/>
                <w:bCs/>
                <w:sz w:val="18"/>
                <w:szCs w:val="18"/>
              </w:rPr>
            </w:pPr>
            <w:r>
              <w:rPr>
                <w:rFonts w:hint="eastAsia" w:ascii="宋体" w:hAnsi="宋体" w:eastAsia="宋体" w:cs="宋体"/>
                <w:bCs/>
                <w:sz w:val="18"/>
                <w:szCs w:val="18"/>
              </w:rPr>
              <w:t>8</w:t>
            </w:r>
          </w:p>
        </w:tc>
        <w:tc>
          <w:tcPr>
            <w:tcW w:w="4780" w:type="dxa"/>
            <w:noWrap w:val="0"/>
            <w:vAlign w:val="center"/>
          </w:tcPr>
          <w:p w14:paraId="2F70D3FC">
            <w:pPr>
              <w:spacing w:line="240" w:lineRule="auto"/>
              <w:jc w:val="center"/>
              <w:rPr>
                <w:rFonts w:hint="eastAsia" w:ascii="宋体" w:hAnsi="宋体" w:eastAsia="宋体" w:cs="宋体"/>
                <w:bCs/>
                <w:sz w:val="18"/>
                <w:szCs w:val="18"/>
              </w:rPr>
            </w:pPr>
            <w:r>
              <w:rPr>
                <w:rFonts w:hint="eastAsia" w:ascii="宋体" w:hAnsi="宋体" w:eastAsia="宋体" w:cs="宋体"/>
                <w:bCs/>
                <w:sz w:val="18"/>
                <w:szCs w:val="18"/>
              </w:rPr>
              <w:t>新洋丰农业科技股份有限公司</w:t>
            </w:r>
          </w:p>
        </w:tc>
        <w:tc>
          <w:tcPr>
            <w:tcW w:w="1817" w:type="dxa"/>
            <w:noWrap w:val="0"/>
            <w:vAlign w:val="center"/>
          </w:tcPr>
          <w:p w14:paraId="0021B75E">
            <w:pPr>
              <w:spacing w:line="240" w:lineRule="auto"/>
              <w:jc w:val="center"/>
              <w:rPr>
                <w:rFonts w:hint="eastAsia" w:ascii="宋体" w:hAnsi="宋体" w:eastAsia="宋体" w:cs="宋体"/>
                <w:bCs/>
                <w:sz w:val="18"/>
                <w:szCs w:val="18"/>
              </w:rPr>
            </w:pPr>
            <w:r>
              <w:rPr>
                <w:rFonts w:hint="eastAsia" w:ascii="宋体" w:hAnsi="宋体" w:eastAsia="宋体" w:cs="宋体"/>
                <w:bCs/>
                <w:sz w:val="18"/>
                <w:szCs w:val="18"/>
              </w:rPr>
              <w:t>316</w:t>
            </w:r>
          </w:p>
        </w:tc>
      </w:tr>
      <w:tr w14:paraId="3A03E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925" w:type="dxa"/>
            <w:noWrap w:val="0"/>
            <w:vAlign w:val="center"/>
          </w:tcPr>
          <w:p w14:paraId="381A5CC5">
            <w:pPr>
              <w:spacing w:line="240" w:lineRule="auto"/>
              <w:jc w:val="center"/>
              <w:rPr>
                <w:rFonts w:hint="eastAsia" w:ascii="宋体" w:hAnsi="宋体" w:eastAsia="宋体" w:cs="宋体"/>
                <w:bCs/>
                <w:sz w:val="18"/>
                <w:szCs w:val="18"/>
              </w:rPr>
            </w:pPr>
            <w:r>
              <w:rPr>
                <w:rFonts w:hint="eastAsia" w:ascii="宋体" w:hAnsi="宋体" w:eastAsia="宋体" w:cs="宋体"/>
                <w:bCs/>
                <w:sz w:val="18"/>
                <w:szCs w:val="18"/>
              </w:rPr>
              <w:t>9</w:t>
            </w:r>
          </w:p>
        </w:tc>
        <w:tc>
          <w:tcPr>
            <w:tcW w:w="4780" w:type="dxa"/>
            <w:noWrap w:val="0"/>
            <w:vAlign w:val="center"/>
          </w:tcPr>
          <w:p w14:paraId="1DEC47B5">
            <w:pPr>
              <w:spacing w:line="240" w:lineRule="auto"/>
              <w:jc w:val="center"/>
              <w:rPr>
                <w:rFonts w:hint="eastAsia" w:ascii="宋体" w:hAnsi="宋体" w:eastAsia="宋体" w:cs="宋体"/>
                <w:bCs/>
                <w:sz w:val="18"/>
                <w:szCs w:val="18"/>
              </w:rPr>
            </w:pPr>
            <w:r>
              <w:rPr>
                <w:rFonts w:hint="eastAsia" w:ascii="宋体" w:hAnsi="宋体" w:eastAsia="宋体" w:cs="宋体"/>
                <w:bCs/>
                <w:sz w:val="18"/>
                <w:szCs w:val="18"/>
              </w:rPr>
              <w:t>紫金矿业集团股份有限公司</w:t>
            </w:r>
          </w:p>
        </w:tc>
        <w:tc>
          <w:tcPr>
            <w:tcW w:w="1817" w:type="dxa"/>
            <w:noWrap w:val="0"/>
            <w:vAlign w:val="center"/>
          </w:tcPr>
          <w:p w14:paraId="1A3D5667">
            <w:pPr>
              <w:spacing w:line="240" w:lineRule="auto"/>
              <w:jc w:val="center"/>
              <w:rPr>
                <w:rFonts w:hint="eastAsia" w:ascii="宋体" w:hAnsi="宋体" w:eastAsia="宋体" w:cs="宋体"/>
                <w:bCs/>
                <w:sz w:val="18"/>
                <w:szCs w:val="18"/>
              </w:rPr>
            </w:pPr>
            <w:r>
              <w:rPr>
                <w:rFonts w:hint="eastAsia" w:ascii="宋体" w:hAnsi="宋体" w:eastAsia="宋体" w:cs="宋体"/>
                <w:bCs/>
                <w:sz w:val="18"/>
                <w:szCs w:val="18"/>
              </w:rPr>
              <w:t>284</w:t>
            </w:r>
          </w:p>
        </w:tc>
      </w:tr>
      <w:tr w14:paraId="572E1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925" w:type="dxa"/>
            <w:noWrap w:val="0"/>
            <w:vAlign w:val="center"/>
          </w:tcPr>
          <w:p w14:paraId="0CB5784F">
            <w:pPr>
              <w:spacing w:line="240" w:lineRule="auto"/>
              <w:jc w:val="center"/>
              <w:rPr>
                <w:rFonts w:hint="eastAsia" w:ascii="宋体" w:hAnsi="宋体" w:eastAsia="宋体" w:cs="宋体"/>
                <w:bCs/>
                <w:sz w:val="18"/>
                <w:szCs w:val="18"/>
              </w:rPr>
            </w:pPr>
            <w:r>
              <w:rPr>
                <w:rFonts w:hint="eastAsia" w:ascii="宋体" w:hAnsi="宋体" w:eastAsia="宋体" w:cs="宋体"/>
                <w:bCs/>
                <w:sz w:val="18"/>
                <w:szCs w:val="18"/>
              </w:rPr>
              <w:t>10</w:t>
            </w:r>
          </w:p>
        </w:tc>
        <w:tc>
          <w:tcPr>
            <w:tcW w:w="4780" w:type="dxa"/>
            <w:noWrap w:val="0"/>
            <w:vAlign w:val="center"/>
          </w:tcPr>
          <w:p w14:paraId="6AAB3205">
            <w:pPr>
              <w:spacing w:line="240" w:lineRule="auto"/>
              <w:jc w:val="center"/>
              <w:rPr>
                <w:rFonts w:hint="eastAsia" w:ascii="宋体" w:hAnsi="宋体" w:eastAsia="宋体" w:cs="宋体"/>
                <w:bCs/>
                <w:sz w:val="18"/>
                <w:szCs w:val="18"/>
              </w:rPr>
            </w:pPr>
            <w:r>
              <w:rPr>
                <w:rFonts w:hint="eastAsia" w:ascii="宋体" w:hAnsi="宋体" w:eastAsia="宋体" w:cs="宋体"/>
                <w:bCs/>
                <w:sz w:val="18"/>
                <w:szCs w:val="18"/>
              </w:rPr>
              <w:t>成都云图控股股份有限公司</w:t>
            </w:r>
          </w:p>
        </w:tc>
        <w:tc>
          <w:tcPr>
            <w:tcW w:w="1817" w:type="dxa"/>
            <w:noWrap w:val="0"/>
            <w:vAlign w:val="center"/>
          </w:tcPr>
          <w:p w14:paraId="21163FF4">
            <w:pPr>
              <w:spacing w:line="240" w:lineRule="auto"/>
              <w:jc w:val="center"/>
              <w:rPr>
                <w:rFonts w:hint="eastAsia" w:ascii="宋体" w:hAnsi="宋体" w:eastAsia="宋体" w:cs="宋体"/>
                <w:bCs/>
                <w:sz w:val="18"/>
                <w:szCs w:val="18"/>
              </w:rPr>
            </w:pPr>
            <w:r>
              <w:rPr>
                <w:rFonts w:hint="eastAsia" w:ascii="宋体" w:hAnsi="宋体" w:eastAsia="宋体" w:cs="宋体"/>
                <w:bCs/>
                <w:sz w:val="18"/>
                <w:szCs w:val="18"/>
              </w:rPr>
              <w:t>283</w:t>
            </w:r>
          </w:p>
        </w:tc>
      </w:tr>
      <w:tr w14:paraId="27EB7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925" w:type="dxa"/>
            <w:noWrap w:val="0"/>
            <w:vAlign w:val="center"/>
          </w:tcPr>
          <w:p w14:paraId="34DB162C">
            <w:pPr>
              <w:spacing w:line="240" w:lineRule="auto"/>
              <w:jc w:val="center"/>
              <w:rPr>
                <w:rFonts w:hint="eastAsia" w:ascii="宋体" w:hAnsi="宋体" w:eastAsia="宋体" w:cs="宋体"/>
                <w:sz w:val="18"/>
                <w:szCs w:val="18"/>
              </w:rPr>
            </w:pPr>
            <w:r>
              <w:rPr>
                <w:rFonts w:hint="eastAsia" w:ascii="宋体" w:hAnsi="宋体" w:eastAsia="宋体" w:cs="宋体"/>
                <w:b/>
                <w:bCs/>
                <w:sz w:val="18"/>
                <w:szCs w:val="18"/>
              </w:rPr>
              <w:t>合计</w:t>
            </w:r>
          </w:p>
        </w:tc>
        <w:tc>
          <w:tcPr>
            <w:tcW w:w="4780" w:type="dxa"/>
            <w:noWrap w:val="0"/>
            <w:vAlign w:val="center"/>
          </w:tcPr>
          <w:p w14:paraId="70F37052">
            <w:pPr>
              <w:spacing w:line="240" w:lineRule="auto"/>
              <w:jc w:val="center"/>
              <w:rPr>
                <w:rFonts w:hint="eastAsia" w:ascii="宋体" w:hAnsi="宋体" w:eastAsia="宋体" w:cs="宋体"/>
                <w:sz w:val="18"/>
                <w:szCs w:val="18"/>
              </w:rPr>
            </w:pPr>
          </w:p>
        </w:tc>
        <w:tc>
          <w:tcPr>
            <w:tcW w:w="1817" w:type="dxa"/>
            <w:noWrap w:val="0"/>
            <w:vAlign w:val="center"/>
          </w:tcPr>
          <w:p w14:paraId="30E0C6F5">
            <w:pPr>
              <w:spacing w:line="240" w:lineRule="auto"/>
              <w:jc w:val="center"/>
              <w:rPr>
                <w:rFonts w:hint="eastAsia" w:ascii="宋体" w:hAnsi="宋体" w:eastAsia="宋体" w:cs="宋体"/>
                <w:sz w:val="18"/>
                <w:szCs w:val="18"/>
              </w:rPr>
            </w:pPr>
            <w:r>
              <w:rPr>
                <w:rFonts w:hint="eastAsia" w:ascii="宋体" w:hAnsi="宋体" w:eastAsia="宋体" w:cs="宋体"/>
                <w:b/>
                <w:bCs/>
                <w:sz w:val="18"/>
                <w:szCs w:val="18"/>
              </w:rPr>
              <w:t>5411</w:t>
            </w:r>
          </w:p>
        </w:tc>
      </w:tr>
    </w:tbl>
    <w:p w14:paraId="279638BC">
      <w:pPr>
        <w:spacing w:line="240" w:lineRule="auto"/>
        <w:jc w:val="center"/>
        <w:rPr>
          <w:rFonts w:hint="eastAsia" w:ascii="黑体" w:eastAsia="黑体"/>
          <w:b/>
        </w:rPr>
      </w:pPr>
    </w:p>
    <w:p w14:paraId="5F728B24">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16" w:name="_Toc230102048"/>
      <w:r>
        <w:rPr>
          <w:rFonts w:hint="eastAsia" w:ascii="宋体" w:hAnsi="宋体" w:eastAsia="宋体" w:cs="宋体"/>
          <w:b/>
          <w:bCs/>
          <w:sz w:val="21"/>
          <w:szCs w:val="21"/>
          <w:lang w:val="en-US" w:eastAsia="zh-CN"/>
        </w:rPr>
        <w:t>三、硫酸进出口情况</w:t>
      </w:r>
      <w:bookmarkEnd w:id="16"/>
    </w:p>
    <w:p w14:paraId="64824500">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17" w:name="_Toc230102049"/>
      <w:r>
        <w:rPr>
          <w:rFonts w:hint="eastAsia" w:ascii="宋体" w:hAnsi="宋体" w:eastAsia="宋体" w:cs="宋体"/>
          <w:b/>
          <w:bCs/>
          <w:sz w:val="21"/>
          <w:szCs w:val="21"/>
          <w:lang w:val="en-US" w:eastAsia="zh-CN"/>
        </w:rPr>
        <w:t>1.出口情况</w:t>
      </w:r>
      <w:bookmarkEnd w:id="17"/>
    </w:p>
    <w:p w14:paraId="228FF16F">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18" w:name="_Toc230102050"/>
      <w:r>
        <w:rPr>
          <w:rFonts w:hint="eastAsia" w:ascii="宋体" w:hAnsi="宋体" w:eastAsia="宋体" w:cs="宋体"/>
          <w:b/>
          <w:bCs/>
          <w:sz w:val="21"/>
          <w:szCs w:val="21"/>
          <w:lang w:val="en-US" w:eastAsia="zh-CN"/>
        </w:rPr>
        <w:t>（1）出口量及出口价格</w:t>
      </w:r>
      <w:bookmarkEnd w:id="18"/>
    </w:p>
    <w:p w14:paraId="334DC9DC">
      <w:pPr>
        <w:jc w:val="center"/>
        <w:rPr>
          <w:rFonts w:ascii="黑体" w:eastAsia="黑体"/>
          <w:b/>
        </w:rPr>
      </w:pPr>
      <w:r>
        <w:drawing>
          <wp:inline distT="0" distB="0" distL="114300" distR="114300">
            <wp:extent cx="3707130" cy="2056765"/>
            <wp:effectExtent l="0" t="0" r="7620" b="635"/>
            <wp:docPr id="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8"/>
                    <pic:cNvPicPr>
                      <a:picLocks noChangeAspect="1"/>
                    </pic:cNvPicPr>
                  </pic:nvPicPr>
                  <pic:blipFill>
                    <a:blip r:embed="rId11"/>
                    <a:srcRect t="7127"/>
                    <a:stretch>
                      <a:fillRect/>
                    </a:stretch>
                  </pic:blipFill>
                  <pic:spPr>
                    <a:xfrm>
                      <a:off x="0" y="0"/>
                      <a:ext cx="3707130" cy="2056765"/>
                    </a:xfrm>
                    <a:prstGeom prst="rect">
                      <a:avLst/>
                    </a:prstGeom>
                    <a:noFill/>
                    <a:ln>
                      <a:noFill/>
                    </a:ln>
                  </pic:spPr>
                </pic:pic>
              </a:graphicData>
            </a:graphic>
          </wp:inline>
        </w:drawing>
      </w:r>
    </w:p>
    <w:p w14:paraId="5F3D1509">
      <w:pPr>
        <w:pageBreakBefore w:val="0"/>
        <w:kinsoku/>
        <w:wordWrap/>
        <w:overflowPunct/>
        <w:topLinePunct w:val="0"/>
        <w:autoSpaceDE/>
        <w:autoSpaceDN/>
        <w:bidi w:val="0"/>
        <w:spacing w:line="400" w:lineRule="exact"/>
        <w:jc w:val="center"/>
        <w:textAlignment w:val="auto"/>
        <w:rPr>
          <w:rFonts w:hint="eastAsia" w:ascii="宋体" w:hAnsi="宋体" w:eastAsia="宋体" w:cs="宋体"/>
          <w:b/>
          <w:sz w:val="21"/>
          <w:szCs w:val="21"/>
        </w:rPr>
      </w:pPr>
      <w:bookmarkStart w:id="19" w:name="_Hlk72421613"/>
      <w:r>
        <w:rPr>
          <w:rFonts w:hint="eastAsia" w:ascii="宋体" w:hAnsi="宋体" w:eastAsia="宋体" w:cs="宋体"/>
          <w:b/>
          <w:sz w:val="21"/>
          <w:szCs w:val="21"/>
        </w:rPr>
        <w:t>图</w:t>
      </w:r>
      <w:r>
        <w:rPr>
          <w:rFonts w:hint="eastAsia" w:ascii="宋体" w:hAnsi="宋体" w:eastAsia="宋体" w:cs="宋体"/>
          <w:b/>
          <w:sz w:val="21"/>
          <w:szCs w:val="21"/>
          <w:lang w:val="en-US" w:eastAsia="zh-CN"/>
        </w:rPr>
        <w:t>8</w:t>
      </w:r>
      <w:r>
        <w:rPr>
          <w:rFonts w:hint="eastAsia" w:ascii="宋体" w:hAnsi="宋体" w:eastAsia="宋体" w:cs="宋体"/>
          <w:b/>
          <w:sz w:val="21"/>
          <w:szCs w:val="21"/>
        </w:rPr>
        <w:t xml:space="preserve"> 2020-2025年我国硫酸出口量及出口价格走势</w:t>
      </w:r>
    </w:p>
    <w:bookmarkEnd w:id="19"/>
    <w:p w14:paraId="31296709">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据海关统计，2025年我国累计出口硫酸464.9万吨，同比增长73.3%；平均出口价格62.4美元/吨，同比增长82.5%。</w:t>
      </w:r>
    </w:p>
    <w:p w14:paraId="3D075AA5">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20" w:name="_Toc230102051"/>
      <w:r>
        <w:rPr>
          <w:rFonts w:hint="eastAsia" w:ascii="宋体" w:hAnsi="宋体" w:eastAsia="宋体" w:cs="宋体"/>
          <w:b/>
          <w:bCs/>
          <w:sz w:val="21"/>
          <w:szCs w:val="21"/>
          <w:lang w:val="en-US" w:eastAsia="zh-CN"/>
        </w:rPr>
        <w:t>（2）出口硫酸去向</w:t>
      </w:r>
      <w:bookmarkEnd w:id="20"/>
    </w:p>
    <w:p w14:paraId="11367CDE">
      <w:pPr>
        <w:jc w:val="center"/>
        <w:rPr>
          <w:rFonts w:hint="eastAsia" w:ascii="黑体" w:eastAsia="黑体"/>
          <w:b/>
        </w:rPr>
      </w:pPr>
      <w:r>
        <w:drawing>
          <wp:inline distT="0" distB="0" distL="114300" distR="114300">
            <wp:extent cx="4000500" cy="2162810"/>
            <wp:effectExtent l="0" t="0" r="0" b="8890"/>
            <wp:docPr id="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9"/>
                    <pic:cNvPicPr>
                      <a:picLocks noChangeAspect="1"/>
                    </pic:cNvPicPr>
                  </pic:nvPicPr>
                  <pic:blipFill>
                    <a:blip r:embed="rId12"/>
                    <a:stretch>
                      <a:fillRect/>
                    </a:stretch>
                  </pic:blipFill>
                  <pic:spPr>
                    <a:xfrm>
                      <a:off x="0" y="0"/>
                      <a:ext cx="4000500" cy="2162810"/>
                    </a:xfrm>
                    <a:prstGeom prst="rect">
                      <a:avLst/>
                    </a:prstGeom>
                    <a:noFill/>
                    <a:ln>
                      <a:noFill/>
                    </a:ln>
                  </pic:spPr>
                </pic:pic>
              </a:graphicData>
            </a:graphic>
          </wp:inline>
        </w:drawing>
      </w:r>
    </w:p>
    <w:p w14:paraId="62A6BAEF">
      <w:pPr>
        <w:pageBreakBefore w:val="0"/>
        <w:kinsoku/>
        <w:wordWrap/>
        <w:overflowPunct/>
        <w:topLinePunct w:val="0"/>
        <w:autoSpaceDE/>
        <w:autoSpaceDN/>
        <w:bidi w:val="0"/>
        <w:spacing w:line="400" w:lineRule="exact"/>
        <w:jc w:val="center"/>
        <w:textAlignment w:val="auto"/>
        <w:rPr>
          <w:rFonts w:hint="eastAsia" w:ascii="宋体" w:hAnsi="宋体" w:eastAsia="宋体" w:cs="宋体"/>
          <w:b/>
          <w:sz w:val="21"/>
          <w:szCs w:val="21"/>
        </w:rPr>
      </w:pPr>
      <w:bookmarkStart w:id="21" w:name="_Hlk72421652"/>
      <w:r>
        <w:rPr>
          <w:rFonts w:hint="eastAsia" w:ascii="宋体" w:hAnsi="宋体" w:eastAsia="宋体" w:cs="宋体"/>
          <w:b/>
          <w:sz w:val="21"/>
          <w:szCs w:val="21"/>
        </w:rPr>
        <w:t>图</w:t>
      </w:r>
      <w:r>
        <w:rPr>
          <w:rFonts w:hint="eastAsia" w:ascii="宋体" w:hAnsi="宋体" w:eastAsia="宋体" w:cs="宋体"/>
          <w:b/>
          <w:sz w:val="21"/>
          <w:szCs w:val="21"/>
          <w:lang w:val="en-US" w:eastAsia="zh-CN"/>
        </w:rPr>
        <w:t>9</w:t>
      </w:r>
      <w:r>
        <w:rPr>
          <w:rFonts w:hint="eastAsia" w:ascii="宋体" w:hAnsi="宋体" w:eastAsia="宋体" w:cs="宋体"/>
          <w:b/>
          <w:sz w:val="21"/>
          <w:szCs w:val="21"/>
        </w:rPr>
        <w:t xml:space="preserve"> 2025年我国出口硫酸去向</w:t>
      </w:r>
    </w:p>
    <w:bookmarkEnd w:id="21"/>
    <w:p w14:paraId="76956D7E">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从出口硫酸去向来看，智利是我国最大的硫酸出口国，其次是印尼、摩洛哥、沙特、印度。</w:t>
      </w:r>
    </w:p>
    <w:p w14:paraId="461D2B19">
      <w:pPr>
        <w:pageBreakBefore w:val="0"/>
        <w:kinsoku/>
        <w:wordWrap/>
        <w:overflowPunct/>
        <w:topLinePunct w:val="0"/>
        <w:autoSpaceDE/>
        <w:autoSpaceDN/>
        <w:bidi w:val="0"/>
        <w:spacing w:line="400" w:lineRule="exact"/>
        <w:jc w:val="center"/>
        <w:textAlignment w:val="auto"/>
        <w:rPr>
          <w:rFonts w:hint="eastAsia" w:ascii="宋体" w:hAnsi="宋体" w:eastAsia="宋体" w:cs="宋体"/>
          <w:b/>
          <w:sz w:val="21"/>
          <w:szCs w:val="21"/>
        </w:rPr>
      </w:pPr>
      <w:r>
        <w:rPr>
          <w:rFonts w:hint="eastAsia" w:ascii="宋体" w:hAnsi="宋体" w:eastAsia="宋体" w:cs="宋体"/>
          <w:b/>
          <w:sz w:val="21"/>
          <w:szCs w:val="21"/>
        </w:rPr>
        <w:t>表</w:t>
      </w:r>
      <w:r>
        <w:rPr>
          <w:rFonts w:hint="eastAsia" w:ascii="宋体" w:hAnsi="宋体" w:eastAsia="宋体" w:cs="宋体"/>
          <w:b/>
          <w:sz w:val="21"/>
          <w:szCs w:val="21"/>
          <w:lang w:val="en-US" w:eastAsia="zh-CN"/>
        </w:rPr>
        <w:t>4</w:t>
      </w:r>
      <w:r>
        <w:rPr>
          <w:rFonts w:hint="eastAsia" w:ascii="宋体" w:hAnsi="宋体" w:eastAsia="宋体" w:cs="宋体"/>
          <w:b/>
          <w:sz w:val="21"/>
          <w:szCs w:val="21"/>
        </w:rPr>
        <w:t xml:space="preserve"> 2025年我国硫酸出口国前十名</w:t>
      </w:r>
    </w:p>
    <w:tbl>
      <w:tblPr>
        <w:tblStyle w:val="17"/>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101"/>
        <w:gridCol w:w="3118"/>
        <w:gridCol w:w="1913"/>
        <w:gridCol w:w="2057"/>
      </w:tblGrid>
      <w:tr w14:paraId="2F7923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jc w:val="center"/>
        </w:trPr>
        <w:tc>
          <w:tcPr>
            <w:tcW w:w="1101" w:type="dxa"/>
            <w:noWrap w:val="0"/>
            <w:vAlign w:val="center"/>
          </w:tcPr>
          <w:p w14:paraId="3C916E94">
            <w:pPr>
              <w:spacing w:line="240" w:lineRule="auto"/>
              <w:jc w:val="center"/>
              <w:rPr>
                <w:rFonts w:hint="eastAsia" w:ascii="宋体" w:hAnsi="宋体" w:eastAsia="宋体" w:cs="宋体"/>
                <w:b/>
                <w:bCs/>
                <w:sz w:val="18"/>
                <w:szCs w:val="18"/>
              </w:rPr>
            </w:pPr>
            <w:r>
              <w:rPr>
                <w:rFonts w:hint="eastAsia" w:ascii="宋体" w:hAnsi="宋体" w:eastAsia="宋体" w:cs="宋体"/>
                <w:b/>
                <w:bCs/>
                <w:sz w:val="18"/>
                <w:szCs w:val="18"/>
              </w:rPr>
              <w:t>排名</w:t>
            </w:r>
          </w:p>
        </w:tc>
        <w:tc>
          <w:tcPr>
            <w:tcW w:w="3118" w:type="dxa"/>
            <w:noWrap w:val="0"/>
            <w:vAlign w:val="center"/>
          </w:tcPr>
          <w:p w14:paraId="2D2712A0">
            <w:pPr>
              <w:spacing w:line="240" w:lineRule="auto"/>
              <w:jc w:val="center"/>
              <w:rPr>
                <w:rFonts w:hint="eastAsia" w:ascii="宋体" w:hAnsi="宋体" w:eastAsia="宋体" w:cs="宋体"/>
                <w:b/>
                <w:bCs/>
                <w:sz w:val="18"/>
                <w:szCs w:val="18"/>
              </w:rPr>
            </w:pPr>
            <w:r>
              <w:rPr>
                <w:rFonts w:hint="eastAsia" w:ascii="宋体" w:hAnsi="宋体" w:eastAsia="宋体" w:cs="宋体"/>
                <w:b/>
                <w:bCs/>
                <w:sz w:val="18"/>
                <w:szCs w:val="18"/>
              </w:rPr>
              <w:t>国别</w:t>
            </w:r>
          </w:p>
        </w:tc>
        <w:tc>
          <w:tcPr>
            <w:tcW w:w="1913" w:type="dxa"/>
            <w:noWrap w:val="0"/>
            <w:vAlign w:val="center"/>
          </w:tcPr>
          <w:p w14:paraId="4D432376">
            <w:pPr>
              <w:spacing w:line="240" w:lineRule="auto"/>
              <w:jc w:val="center"/>
              <w:rPr>
                <w:rFonts w:hint="eastAsia" w:ascii="宋体" w:hAnsi="宋体" w:eastAsia="宋体" w:cs="宋体"/>
                <w:b/>
                <w:bCs/>
                <w:sz w:val="18"/>
                <w:szCs w:val="18"/>
              </w:rPr>
            </w:pPr>
            <w:r>
              <w:rPr>
                <w:rFonts w:hint="eastAsia" w:ascii="宋体" w:hAnsi="宋体" w:eastAsia="宋体" w:cs="宋体"/>
                <w:b/>
                <w:bCs/>
                <w:sz w:val="18"/>
                <w:szCs w:val="18"/>
              </w:rPr>
              <w:t>数量（万吨）</w:t>
            </w:r>
          </w:p>
        </w:tc>
        <w:tc>
          <w:tcPr>
            <w:tcW w:w="2057" w:type="dxa"/>
            <w:noWrap w:val="0"/>
            <w:vAlign w:val="center"/>
          </w:tcPr>
          <w:p w14:paraId="7DE013E6">
            <w:pPr>
              <w:spacing w:line="240" w:lineRule="auto"/>
              <w:jc w:val="center"/>
              <w:rPr>
                <w:rFonts w:hint="eastAsia" w:ascii="宋体" w:hAnsi="宋体" w:eastAsia="宋体" w:cs="宋体"/>
                <w:b/>
                <w:bCs/>
                <w:sz w:val="18"/>
                <w:szCs w:val="18"/>
              </w:rPr>
            </w:pPr>
            <w:r>
              <w:rPr>
                <w:rFonts w:hint="eastAsia" w:ascii="宋体" w:hAnsi="宋体" w:eastAsia="宋体" w:cs="宋体"/>
                <w:b/>
                <w:bCs/>
                <w:sz w:val="18"/>
                <w:szCs w:val="18"/>
              </w:rPr>
              <w:t>价格（美元/吨）</w:t>
            </w:r>
          </w:p>
        </w:tc>
      </w:tr>
      <w:tr w14:paraId="44A1EF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jc w:val="center"/>
        </w:trPr>
        <w:tc>
          <w:tcPr>
            <w:tcW w:w="1101" w:type="dxa"/>
            <w:noWrap w:val="0"/>
            <w:vAlign w:val="center"/>
          </w:tcPr>
          <w:p w14:paraId="0FB9624E">
            <w:pPr>
              <w:spacing w:line="240" w:lineRule="auto"/>
              <w:jc w:val="center"/>
              <w:rPr>
                <w:rFonts w:hint="eastAsia" w:ascii="宋体" w:hAnsi="宋体" w:eastAsia="宋体" w:cs="宋体"/>
                <w:bCs/>
                <w:sz w:val="18"/>
                <w:szCs w:val="18"/>
              </w:rPr>
            </w:pPr>
            <w:r>
              <w:rPr>
                <w:rFonts w:hint="eastAsia" w:ascii="宋体" w:hAnsi="宋体" w:eastAsia="宋体" w:cs="宋体"/>
                <w:bCs/>
                <w:sz w:val="18"/>
                <w:szCs w:val="18"/>
              </w:rPr>
              <w:t>1</w:t>
            </w:r>
          </w:p>
        </w:tc>
        <w:tc>
          <w:tcPr>
            <w:tcW w:w="3118" w:type="dxa"/>
            <w:noWrap w:val="0"/>
            <w:vAlign w:val="center"/>
          </w:tcPr>
          <w:p w14:paraId="114C7017">
            <w:pPr>
              <w:spacing w:line="240" w:lineRule="auto"/>
              <w:jc w:val="center"/>
              <w:rPr>
                <w:rFonts w:hint="eastAsia" w:ascii="宋体" w:hAnsi="宋体" w:eastAsia="宋体" w:cs="宋体"/>
                <w:bCs/>
                <w:sz w:val="18"/>
                <w:szCs w:val="18"/>
              </w:rPr>
            </w:pPr>
            <w:r>
              <w:rPr>
                <w:rFonts w:hint="eastAsia" w:ascii="宋体" w:hAnsi="宋体" w:eastAsia="宋体" w:cs="宋体"/>
                <w:sz w:val="18"/>
                <w:szCs w:val="18"/>
              </w:rPr>
              <w:t>智利</w:t>
            </w:r>
          </w:p>
        </w:tc>
        <w:tc>
          <w:tcPr>
            <w:tcW w:w="1913" w:type="dxa"/>
            <w:noWrap w:val="0"/>
            <w:vAlign w:val="center"/>
          </w:tcPr>
          <w:p w14:paraId="6755F087">
            <w:pPr>
              <w:spacing w:line="240" w:lineRule="auto"/>
              <w:jc w:val="center"/>
              <w:rPr>
                <w:rFonts w:hint="eastAsia" w:ascii="宋体" w:hAnsi="宋体" w:eastAsia="宋体" w:cs="宋体"/>
                <w:bCs/>
                <w:sz w:val="18"/>
                <w:szCs w:val="18"/>
              </w:rPr>
            </w:pPr>
            <w:r>
              <w:rPr>
                <w:rFonts w:hint="eastAsia" w:ascii="宋体" w:hAnsi="宋体" w:eastAsia="宋体" w:cs="宋体"/>
                <w:sz w:val="18"/>
                <w:szCs w:val="18"/>
              </w:rPr>
              <w:t>150.9</w:t>
            </w:r>
          </w:p>
        </w:tc>
        <w:tc>
          <w:tcPr>
            <w:tcW w:w="2057" w:type="dxa"/>
            <w:noWrap w:val="0"/>
            <w:vAlign w:val="center"/>
          </w:tcPr>
          <w:p w14:paraId="546D03D6">
            <w:pPr>
              <w:spacing w:line="240" w:lineRule="auto"/>
              <w:jc w:val="center"/>
              <w:rPr>
                <w:rFonts w:hint="eastAsia" w:ascii="宋体" w:hAnsi="宋体" w:eastAsia="宋体" w:cs="宋体"/>
                <w:bCs/>
                <w:sz w:val="18"/>
                <w:szCs w:val="18"/>
              </w:rPr>
            </w:pPr>
            <w:r>
              <w:rPr>
                <w:rFonts w:hint="eastAsia" w:ascii="宋体" w:hAnsi="宋体" w:eastAsia="宋体" w:cs="宋体"/>
                <w:sz w:val="18"/>
                <w:szCs w:val="18"/>
              </w:rPr>
              <w:t>57.4</w:t>
            </w:r>
          </w:p>
        </w:tc>
      </w:tr>
      <w:tr w14:paraId="176250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jc w:val="center"/>
        </w:trPr>
        <w:tc>
          <w:tcPr>
            <w:tcW w:w="1101" w:type="dxa"/>
            <w:noWrap w:val="0"/>
            <w:vAlign w:val="center"/>
          </w:tcPr>
          <w:p w14:paraId="041B0493">
            <w:pPr>
              <w:spacing w:line="240" w:lineRule="auto"/>
              <w:jc w:val="center"/>
              <w:rPr>
                <w:rFonts w:hint="eastAsia" w:ascii="宋体" w:hAnsi="宋体" w:eastAsia="宋体" w:cs="宋体"/>
                <w:bCs/>
                <w:sz w:val="18"/>
                <w:szCs w:val="18"/>
              </w:rPr>
            </w:pPr>
            <w:r>
              <w:rPr>
                <w:rFonts w:hint="eastAsia" w:ascii="宋体" w:hAnsi="宋体" w:eastAsia="宋体" w:cs="宋体"/>
                <w:bCs/>
                <w:sz w:val="18"/>
                <w:szCs w:val="18"/>
              </w:rPr>
              <w:t>2</w:t>
            </w:r>
          </w:p>
        </w:tc>
        <w:tc>
          <w:tcPr>
            <w:tcW w:w="3118" w:type="dxa"/>
            <w:noWrap w:val="0"/>
            <w:vAlign w:val="center"/>
          </w:tcPr>
          <w:p w14:paraId="482005A9">
            <w:pPr>
              <w:spacing w:line="240" w:lineRule="auto"/>
              <w:jc w:val="center"/>
              <w:rPr>
                <w:rFonts w:hint="eastAsia" w:ascii="宋体" w:hAnsi="宋体" w:eastAsia="宋体" w:cs="宋体"/>
                <w:bCs/>
                <w:sz w:val="18"/>
                <w:szCs w:val="18"/>
              </w:rPr>
            </w:pPr>
            <w:r>
              <w:rPr>
                <w:rFonts w:hint="eastAsia" w:ascii="宋体" w:hAnsi="宋体" w:eastAsia="宋体" w:cs="宋体"/>
                <w:sz w:val="18"/>
                <w:szCs w:val="18"/>
              </w:rPr>
              <w:t>印度尼西亚</w:t>
            </w:r>
          </w:p>
        </w:tc>
        <w:tc>
          <w:tcPr>
            <w:tcW w:w="1913" w:type="dxa"/>
            <w:noWrap w:val="0"/>
            <w:vAlign w:val="center"/>
          </w:tcPr>
          <w:p w14:paraId="13C6FD0E">
            <w:pPr>
              <w:spacing w:line="240" w:lineRule="auto"/>
              <w:jc w:val="center"/>
              <w:rPr>
                <w:rFonts w:hint="eastAsia" w:ascii="宋体" w:hAnsi="宋体" w:eastAsia="宋体" w:cs="宋体"/>
                <w:bCs/>
                <w:sz w:val="18"/>
                <w:szCs w:val="18"/>
              </w:rPr>
            </w:pPr>
            <w:r>
              <w:rPr>
                <w:rFonts w:hint="eastAsia" w:ascii="宋体" w:hAnsi="宋体" w:eastAsia="宋体" w:cs="宋体"/>
                <w:sz w:val="18"/>
                <w:szCs w:val="18"/>
              </w:rPr>
              <w:t>68.3</w:t>
            </w:r>
          </w:p>
        </w:tc>
        <w:tc>
          <w:tcPr>
            <w:tcW w:w="2057" w:type="dxa"/>
            <w:noWrap w:val="0"/>
            <w:vAlign w:val="center"/>
          </w:tcPr>
          <w:p w14:paraId="123E90E0">
            <w:pPr>
              <w:spacing w:line="240" w:lineRule="auto"/>
              <w:jc w:val="center"/>
              <w:rPr>
                <w:rFonts w:hint="eastAsia" w:ascii="宋体" w:hAnsi="宋体" w:eastAsia="宋体" w:cs="宋体"/>
                <w:bCs/>
                <w:sz w:val="18"/>
                <w:szCs w:val="18"/>
              </w:rPr>
            </w:pPr>
            <w:r>
              <w:rPr>
                <w:rFonts w:hint="eastAsia" w:ascii="宋体" w:hAnsi="宋体" w:eastAsia="宋体" w:cs="宋体"/>
                <w:sz w:val="18"/>
                <w:szCs w:val="18"/>
              </w:rPr>
              <w:t>63.9</w:t>
            </w:r>
          </w:p>
        </w:tc>
      </w:tr>
      <w:tr w14:paraId="5110B5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jc w:val="center"/>
        </w:trPr>
        <w:tc>
          <w:tcPr>
            <w:tcW w:w="1101" w:type="dxa"/>
            <w:noWrap w:val="0"/>
            <w:vAlign w:val="center"/>
          </w:tcPr>
          <w:p w14:paraId="7C6BB47B">
            <w:pPr>
              <w:spacing w:line="240" w:lineRule="auto"/>
              <w:jc w:val="center"/>
              <w:rPr>
                <w:rFonts w:hint="eastAsia" w:ascii="宋体" w:hAnsi="宋体" w:eastAsia="宋体" w:cs="宋体"/>
                <w:bCs/>
                <w:sz w:val="18"/>
                <w:szCs w:val="18"/>
              </w:rPr>
            </w:pPr>
            <w:r>
              <w:rPr>
                <w:rFonts w:hint="eastAsia" w:ascii="宋体" w:hAnsi="宋体" w:eastAsia="宋体" w:cs="宋体"/>
                <w:bCs/>
                <w:sz w:val="18"/>
                <w:szCs w:val="18"/>
              </w:rPr>
              <w:t>3</w:t>
            </w:r>
          </w:p>
        </w:tc>
        <w:tc>
          <w:tcPr>
            <w:tcW w:w="3118" w:type="dxa"/>
            <w:noWrap w:val="0"/>
            <w:vAlign w:val="center"/>
          </w:tcPr>
          <w:p w14:paraId="31C0F76A">
            <w:pPr>
              <w:spacing w:line="240" w:lineRule="auto"/>
              <w:jc w:val="center"/>
              <w:rPr>
                <w:rFonts w:hint="eastAsia" w:ascii="宋体" w:hAnsi="宋体" w:eastAsia="宋体" w:cs="宋体"/>
                <w:bCs/>
                <w:sz w:val="18"/>
                <w:szCs w:val="18"/>
              </w:rPr>
            </w:pPr>
            <w:r>
              <w:rPr>
                <w:rFonts w:hint="eastAsia" w:ascii="宋体" w:hAnsi="宋体" w:eastAsia="宋体" w:cs="宋体"/>
                <w:sz w:val="18"/>
                <w:szCs w:val="18"/>
              </w:rPr>
              <w:t>摩洛哥</w:t>
            </w:r>
          </w:p>
        </w:tc>
        <w:tc>
          <w:tcPr>
            <w:tcW w:w="1913" w:type="dxa"/>
            <w:noWrap w:val="0"/>
            <w:vAlign w:val="center"/>
          </w:tcPr>
          <w:p w14:paraId="671DC508">
            <w:pPr>
              <w:spacing w:line="240" w:lineRule="auto"/>
              <w:jc w:val="center"/>
              <w:rPr>
                <w:rFonts w:hint="eastAsia" w:ascii="宋体" w:hAnsi="宋体" w:eastAsia="宋体" w:cs="宋体"/>
                <w:bCs/>
                <w:sz w:val="18"/>
                <w:szCs w:val="18"/>
              </w:rPr>
            </w:pPr>
            <w:r>
              <w:rPr>
                <w:rFonts w:hint="eastAsia" w:ascii="宋体" w:hAnsi="宋体" w:eastAsia="宋体" w:cs="宋体"/>
                <w:sz w:val="18"/>
                <w:szCs w:val="18"/>
              </w:rPr>
              <w:t>56.4</w:t>
            </w:r>
          </w:p>
        </w:tc>
        <w:tc>
          <w:tcPr>
            <w:tcW w:w="2057" w:type="dxa"/>
            <w:noWrap w:val="0"/>
            <w:vAlign w:val="center"/>
          </w:tcPr>
          <w:p w14:paraId="099C0141">
            <w:pPr>
              <w:spacing w:line="240" w:lineRule="auto"/>
              <w:jc w:val="center"/>
              <w:rPr>
                <w:rFonts w:hint="eastAsia" w:ascii="宋体" w:hAnsi="宋体" w:eastAsia="宋体" w:cs="宋体"/>
                <w:bCs/>
                <w:sz w:val="18"/>
                <w:szCs w:val="18"/>
              </w:rPr>
            </w:pPr>
            <w:r>
              <w:rPr>
                <w:rFonts w:hint="eastAsia" w:ascii="宋体" w:hAnsi="宋体" w:eastAsia="宋体" w:cs="宋体"/>
                <w:sz w:val="18"/>
                <w:szCs w:val="18"/>
              </w:rPr>
              <w:t>62.7</w:t>
            </w:r>
          </w:p>
        </w:tc>
      </w:tr>
      <w:tr w14:paraId="6D6247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jc w:val="center"/>
        </w:trPr>
        <w:tc>
          <w:tcPr>
            <w:tcW w:w="1101" w:type="dxa"/>
            <w:noWrap w:val="0"/>
            <w:vAlign w:val="center"/>
          </w:tcPr>
          <w:p w14:paraId="72C06EC3">
            <w:pPr>
              <w:spacing w:line="240" w:lineRule="auto"/>
              <w:jc w:val="center"/>
              <w:rPr>
                <w:rFonts w:hint="eastAsia" w:ascii="宋体" w:hAnsi="宋体" w:eastAsia="宋体" w:cs="宋体"/>
                <w:bCs/>
                <w:sz w:val="18"/>
                <w:szCs w:val="18"/>
              </w:rPr>
            </w:pPr>
            <w:r>
              <w:rPr>
                <w:rFonts w:hint="eastAsia" w:ascii="宋体" w:hAnsi="宋体" w:eastAsia="宋体" w:cs="宋体"/>
                <w:bCs/>
                <w:sz w:val="18"/>
                <w:szCs w:val="18"/>
              </w:rPr>
              <w:t>4</w:t>
            </w:r>
          </w:p>
        </w:tc>
        <w:tc>
          <w:tcPr>
            <w:tcW w:w="3118" w:type="dxa"/>
            <w:noWrap w:val="0"/>
            <w:vAlign w:val="center"/>
          </w:tcPr>
          <w:p w14:paraId="1481A9CA">
            <w:pPr>
              <w:spacing w:line="240" w:lineRule="auto"/>
              <w:jc w:val="center"/>
              <w:rPr>
                <w:rFonts w:hint="eastAsia" w:ascii="宋体" w:hAnsi="宋体" w:eastAsia="宋体" w:cs="宋体"/>
                <w:bCs/>
                <w:sz w:val="18"/>
                <w:szCs w:val="18"/>
              </w:rPr>
            </w:pPr>
            <w:r>
              <w:rPr>
                <w:rFonts w:hint="eastAsia" w:ascii="宋体" w:hAnsi="宋体" w:eastAsia="宋体" w:cs="宋体"/>
                <w:sz w:val="18"/>
                <w:szCs w:val="18"/>
              </w:rPr>
              <w:t>沙特阿拉伯</w:t>
            </w:r>
          </w:p>
        </w:tc>
        <w:tc>
          <w:tcPr>
            <w:tcW w:w="1913" w:type="dxa"/>
            <w:noWrap w:val="0"/>
            <w:vAlign w:val="center"/>
          </w:tcPr>
          <w:p w14:paraId="4394D030">
            <w:pPr>
              <w:spacing w:line="240" w:lineRule="auto"/>
              <w:jc w:val="center"/>
              <w:rPr>
                <w:rFonts w:hint="eastAsia" w:ascii="宋体" w:hAnsi="宋体" w:eastAsia="宋体" w:cs="宋体"/>
                <w:bCs/>
                <w:sz w:val="18"/>
                <w:szCs w:val="18"/>
              </w:rPr>
            </w:pPr>
            <w:r>
              <w:rPr>
                <w:rFonts w:hint="eastAsia" w:ascii="宋体" w:hAnsi="宋体" w:eastAsia="宋体" w:cs="宋体"/>
                <w:sz w:val="18"/>
                <w:szCs w:val="18"/>
              </w:rPr>
              <w:t>56.2</w:t>
            </w:r>
          </w:p>
        </w:tc>
        <w:tc>
          <w:tcPr>
            <w:tcW w:w="2057" w:type="dxa"/>
            <w:noWrap w:val="0"/>
            <w:vAlign w:val="center"/>
          </w:tcPr>
          <w:p w14:paraId="6FC0D14D">
            <w:pPr>
              <w:spacing w:line="240" w:lineRule="auto"/>
              <w:jc w:val="center"/>
              <w:rPr>
                <w:rFonts w:hint="eastAsia" w:ascii="宋体" w:hAnsi="宋体" w:eastAsia="宋体" w:cs="宋体"/>
                <w:bCs/>
                <w:sz w:val="18"/>
                <w:szCs w:val="18"/>
              </w:rPr>
            </w:pPr>
            <w:r>
              <w:rPr>
                <w:rFonts w:hint="eastAsia" w:ascii="宋体" w:hAnsi="宋体" w:eastAsia="宋体" w:cs="宋体"/>
                <w:sz w:val="18"/>
                <w:szCs w:val="18"/>
              </w:rPr>
              <w:t>64.1</w:t>
            </w:r>
          </w:p>
        </w:tc>
      </w:tr>
      <w:tr w14:paraId="0DA089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jc w:val="center"/>
        </w:trPr>
        <w:tc>
          <w:tcPr>
            <w:tcW w:w="1101" w:type="dxa"/>
            <w:noWrap w:val="0"/>
            <w:vAlign w:val="center"/>
          </w:tcPr>
          <w:p w14:paraId="0F1EA63C">
            <w:pPr>
              <w:spacing w:line="240" w:lineRule="auto"/>
              <w:jc w:val="center"/>
              <w:rPr>
                <w:rFonts w:hint="eastAsia" w:ascii="宋体" w:hAnsi="宋体" w:eastAsia="宋体" w:cs="宋体"/>
                <w:bCs/>
                <w:sz w:val="18"/>
                <w:szCs w:val="18"/>
              </w:rPr>
            </w:pPr>
            <w:r>
              <w:rPr>
                <w:rFonts w:hint="eastAsia" w:ascii="宋体" w:hAnsi="宋体" w:eastAsia="宋体" w:cs="宋体"/>
                <w:bCs/>
                <w:sz w:val="18"/>
                <w:szCs w:val="18"/>
              </w:rPr>
              <w:t>5</w:t>
            </w:r>
          </w:p>
        </w:tc>
        <w:tc>
          <w:tcPr>
            <w:tcW w:w="3118" w:type="dxa"/>
            <w:noWrap w:val="0"/>
            <w:vAlign w:val="center"/>
          </w:tcPr>
          <w:p w14:paraId="0230C11F">
            <w:pPr>
              <w:spacing w:line="240" w:lineRule="auto"/>
              <w:jc w:val="center"/>
              <w:rPr>
                <w:rFonts w:hint="eastAsia" w:ascii="宋体" w:hAnsi="宋体" w:eastAsia="宋体" w:cs="宋体"/>
                <w:bCs/>
                <w:sz w:val="18"/>
                <w:szCs w:val="18"/>
              </w:rPr>
            </w:pPr>
            <w:r>
              <w:rPr>
                <w:rFonts w:hint="eastAsia" w:ascii="宋体" w:hAnsi="宋体" w:eastAsia="宋体" w:cs="宋体"/>
                <w:sz w:val="18"/>
                <w:szCs w:val="18"/>
              </w:rPr>
              <w:t>印度</w:t>
            </w:r>
          </w:p>
        </w:tc>
        <w:tc>
          <w:tcPr>
            <w:tcW w:w="1913" w:type="dxa"/>
            <w:noWrap w:val="0"/>
            <w:vAlign w:val="center"/>
          </w:tcPr>
          <w:p w14:paraId="064624CC">
            <w:pPr>
              <w:spacing w:line="240" w:lineRule="auto"/>
              <w:jc w:val="center"/>
              <w:rPr>
                <w:rFonts w:hint="eastAsia" w:ascii="宋体" w:hAnsi="宋体" w:eastAsia="宋体" w:cs="宋体"/>
                <w:bCs/>
                <w:sz w:val="18"/>
                <w:szCs w:val="18"/>
              </w:rPr>
            </w:pPr>
            <w:r>
              <w:rPr>
                <w:rFonts w:hint="eastAsia" w:ascii="宋体" w:hAnsi="宋体" w:eastAsia="宋体" w:cs="宋体"/>
                <w:sz w:val="18"/>
                <w:szCs w:val="18"/>
              </w:rPr>
              <w:t>42.6</w:t>
            </w:r>
          </w:p>
        </w:tc>
        <w:tc>
          <w:tcPr>
            <w:tcW w:w="2057" w:type="dxa"/>
            <w:noWrap w:val="0"/>
            <w:vAlign w:val="center"/>
          </w:tcPr>
          <w:p w14:paraId="13197F2A">
            <w:pPr>
              <w:spacing w:line="240" w:lineRule="auto"/>
              <w:jc w:val="center"/>
              <w:rPr>
                <w:rFonts w:hint="eastAsia" w:ascii="宋体" w:hAnsi="宋体" w:eastAsia="宋体" w:cs="宋体"/>
                <w:bCs/>
                <w:sz w:val="18"/>
                <w:szCs w:val="18"/>
              </w:rPr>
            </w:pPr>
            <w:r>
              <w:rPr>
                <w:rFonts w:hint="eastAsia" w:ascii="宋体" w:hAnsi="宋体" w:eastAsia="宋体" w:cs="宋体"/>
                <w:sz w:val="18"/>
                <w:szCs w:val="18"/>
              </w:rPr>
              <w:t>60.7</w:t>
            </w:r>
          </w:p>
        </w:tc>
      </w:tr>
      <w:tr w14:paraId="05A5E2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jc w:val="center"/>
        </w:trPr>
        <w:tc>
          <w:tcPr>
            <w:tcW w:w="1101" w:type="dxa"/>
            <w:noWrap w:val="0"/>
            <w:vAlign w:val="center"/>
          </w:tcPr>
          <w:p w14:paraId="74CDDCB0">
            <w:pPr>
              <w:spacing w:line="240" w:lineRule="auto"/>
              <w:jc w:val="center"/>
              <w:rPr>
                <w:rFonts w:hint="eastAsia" w:ascii="宋体" w:hAnsi="宋体" w:eastAsia="宋体" w:cs="宋体"/>
                <w:bCs/>
                <w:sz w:val="18"/>
                <w:szCs w:val="18"/>
              </w:rPr>
            </w:pPr>
            <w:r>
              <w:rPr>
                <w:rFonts w:hint="eastAsia" w:ascii="宋体" w:hAnsi="宋体" w:eastAsia="宋体" w:cs="宋体"/>
                <w:bCs/>
                <w:sz w:val="18"/>
                <w:szCs w:val="18"/>
              </w:rPr>
              <w:t>6</w:t>
            </w:r>
          </w:p>
        </w:tc>
        <w:tc>
          <w:tcPr>
            <w:tcW w:w="3118" w:type="dxa"/>
            <w:noWrap w:val="0"/>
            <w:vAlign w:val="center"/>
          </w:tcPr>
          <w:p w14:paraId="52124E2C">
            <w:pPr>
              <w:spacing w:line="240" w:lineRule="auto"/>
              <w:jc w:val="center"/>
              <w:rPr>
                <w:rFonts w:hint="eastAsia" w:ascii="宋体" w:hAnsi="宋体" w:eastAsia="宋体" w:cs="宋体"/>
                <w:bCs/>
                <w:sz w:val="18"/>
                <w:szCs w:val="18"/>
              </w:rPr>
            </w:pPr>
            <w:r>
              <w:rPr>
                <w:rFonts w:hint="eastAsia" w:ascii="宋体" w:hAnsi="宋体" w:eastAsia="宋体" w:cs="宋体"/>
                <w:sz w:val="18"/>
                <w:szCs w:val="18"/>
              </w:rPr>
              <w:t>越南</w:t>
            </w:r>
          </w:p>
        </w:tc>
        <w:tc>
          <w:tcPr>
            <w:tcW w:w="1913" w:type="dxa"/>
            <w:noWrap w:val="0"/>
            <w:vAlign w:val="center"/>
          </w:tcPr>
          <w:p w14:paraId="6F1B4C88">
            <w:pPr>
              <w:spacing w:line="240" w:lineRule="auto"/>
              <w:jc w:val="center"/>
              <w:rPr>
                <w:rFonts w:hint="eastAsia" w:ascii="宋体" w:hAnsi="宋体" w:eastAsia="宋体" w:cs="宋体"/>
                <w:bCs/>
                <w:sz w:val="18"/>
                <w:szCs w:val="18"/>
              </w:rPr>
            </w:pPr>
            <w:r>
              <w:rPr>
                <w:rFonts w:hint="eastAsia" w:ascii="宋体" w:hAnsi="宋体" w:eastAsia="宋体" w:cs="宋体"/>
                <w:sz w:val="18"/>
                <w:szCs w:val="18"/>
              </w:rPr>
              <w:t>23.0</w:t>
            </w:r>
          </w:p>
        </w:tc>
        <w:tc>
          <w:tcPr>
            <w:tcW w:w="2057" w:type="dxa"/>
            <w:noWrap w:val="0"/>
            <w:vAlign w:val="center"/>
          </w:tcPr>
          <w:p w14:paraId="221984A3">
            <w:pPr>
              <w:spacing w:line="240" w:lineRule="auto"/>
              <w:jc w:val="center"/>
              <w:rPr>
                <w:rFonts w:hint="eastAsia" w:ascii="宋体" w:hAnsi="宋体" w:eastAsia="宋体" w:cs="宋体"/>
                <w:bCs/>
                <w:sz w:val="18"/>
                <w:szCs w:val="18"/>
              </w:rPr>
            </w:pPr>
            <w:r>
              <w:rPr>
                <w:rFonts w:hint="eastAsia" w:ascii="宋体" w:hAnsi="宋体" w:eastAsia="宋体" w:cs="宋体"/>
                <w:sz w:val="18"/>
                <w:szCs w:val="18"/>
              </w:rPr>
              <w:t>62.2</w:t>
            </w:r>
          </w:p>
        </w:tc>
      </w:tr>
      <w:tr w14:paraId="68A787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jc w:val="center"/>
        </w:trPr>
        <w:tc>
          <w:tcPr>
            <w:tcW w:w="1101" w:type="dxa"/>
            <w:noWrap w:val="0"/>
            <w:vAlign w:val="center"/>
          </w:tcPr>
          <w:p w14:paraId="234232FC">
            <w:pPr>
              <w:spacing w:line="240" w:lineRule="auto"/>
              <w:jc w:val="center"/>
              <w:rPr>
                <w:rFonts w:hint="eastAsia" w:ascii="宋体" w:hAnsi="宋体" w:eastAsia="宋体" w:cs="宋体"/>
                <w:bCs/>
                <w:sz w:val="18"/>
                <w:szCs w:val="18"/>
              </w:rPr>
            </w:pPr>
            <w:r>
              <w:rPr>
                <w:rFonts w:hint="eastAsia" w:ascii="宋体" w:hAnsi="宋体" w:eastAsia="宋体" w:cs="宋体"/>
                <w:bCs/>
                <w:sz w:val="18"/>
                <w:szCs w:val="18"/>
              </w:rPr>
              <w:t>7</w:t>
            </w:r>
          </w:p>
        </w:tc>
        <w:tc>
          <w:tcPr>
            <w:tcW w:w="3118" w:type="dxa"/>
            <w:noWrap w:val="0"/>
            <w:vAlign w:val="center"/>
          </w:tcPr>
          <w:p w14:paraId="473CBDF9">
            <w:pPr>
              <w:spacing w:line="240" w:lineRule="auto"/>
              <w:jc w:val="center"/>
              <w:rPr>
                <w:rFonts w:hint="eastAsia" w:ascii="宋体" w:hAnsi="宋体" w:eastAsia="宋体" w:cs="宋体"/>
                <w:bCs/>
                <w:sz w:val="18"/>
                <w:szCs w:val="18"/>
              </w:rPr>
            </w:pPr>
            <w:r>
              <w:rPr>
                <w:rFonts w:hint="eastAsia" w:ascii="宋体" w:hAnsi="宋体" w:eastAsia="宋体" w:cs="宋体"/>
                <w:sz w:val="18"/>
                <w:szCs w:val="18"/>
              </w:rPr>
              <w:t>菲律宾</w:t>
            </w:r>
          </w:p>
        </w:tc>
        <w:tc>
          <w:tcPr>
            <w:tcW w:w="1913" w:type="dxa"/>
            <w:noWrap w:val="0"/>
            <w:vAlign w:val="center"/>
          </w:tcPr>
          <w:p w14:paraId="06DDC6BB">
            <w:pPr>
              <w:spacing w:line="240" w:lineRule="auto"/>
              <w:jc w:val="center"/>
              <w:rPr>
                <w:rFonts w:hint="eastAsia" w:ascii="宋体" w:hAnsi="宋体" w:eastAsia="宋体" w:cs="宋体"/>
                <w:bCs/>
                <w:sz w:val="18"/>
                <w:szCs w:val="18"/>
              </w:rPr>
            </w:pPr>
            <w:r>
              <w:rPr>
                <w:rFonts w:hint="eastAsia" w:ascii="宋体" w:hAnsi="宋体" w:eastAsia="宋体" w:cs="宋体"/>
                <w:sz w:val="18"/>
                <w:szCs w:val="18"/>
              </w:rPr>
              <w:t>21.8</w:t>
            </w:r>
          </w:p>
        </w:tc>
        <w:tc>
          <w:tcPr>
            <w:tcW w:w="2057" w:type="dxa"/>
            <w:noWrap w:val="0"/>
            <w:vAlign w:val="center"/>
          </w:tcPr>
          <w:p w14:paraId="7207D412">
            <w:pPr>
              <w:spacing w:line="240" w:lineRule="auto"/>
              <w:jc w:val="center"/>
              <w:rPr>
                <w:rFonts w:hint="eastAsia" w:ascii="宋体" w:hAnsi="宋体" w:eastAsia="宋体" w:cs="宋体"/>
                <w:bCs/>
                <w:sz w:val="18"/>
                <w:szCs w:val="18"/>
              </w:rPr>
            </w:pPr>
            <w:r>
              <w:rPr>
                <w:rFonts w:hint="eastAsia" w:ascii="宋体" w:hAnsi="宋体" w:eastAsia="宋体" w:cs="宋体"/>
                <w:sz w:val="18"/>
                <w:szCs w:val="18"/>
              </w:rPr>
              <w:t>71.3</w:t>
            </w:r>
          </w:p>
        </w:tc>
      </w:tr>
      <w:tr w14:paraId="748E13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jc w:val="center"/>
        </w:trPr>
        <w:tc>
          <w:tcPr>
            <w:tcW w:w="1101" w:type="dxa"/>
            <w:noWrap w:val="0"/>
            <w:vAlign w:val="center"/>
          </w:tcPr>
          <w:p w14:paraId="312C04EA">
            <w:pPr>
              <w:spacing w:line="240" w:lineRule="auto"/>
              <w:jc w:val="center"/>
              <w:rPr>
                <w:rFonts w:hint="eastAsia" w:ascii="宋体" w:hAnsi="宋体" w:eastAsia="宋体" w:cs="宋体"/>
                <w:bCs/>
                <w:sz w:val="18"/>
                <w:szCs w:val="18"/>
              </w:rPr>
            </w:pPr>
            <w:r>
              <w:rPr>
                <w:rFonts w:hint="eastAsia" w:ascii="宋体" w:hAnsi="宋体" w:eastAsia="宋体" w:cs="宋体"/>
                <w:bCs/>
                <w:sz w:val="18"/>
                <w:szCs w:val="18"/>
              </w:rPr>
              <w:t>8</w:t>
            </w:r>
          </w:p>
        </w:tc>
        <w:tc>
          <w:tcPr>
            <w:tcW w:w="3118" w:type="dxa"/>
            <w:noWrap w:val="0"/>
            <w:vAlign w:val="center"/>
          </w:tcPr>
          <w:p w14:paraId="3FA54603">
            <w:pPr>
              <w:spacing w:line="240" w:lineRule="auto"/>
              <w:jc w:val="center"/>
              <w:rPr>
                <w:rFonts w:hint="eastAsia" w:ascii="宋体" w:hAnsi="宋体" w:eastAsia="宋体" w:cs="宋体"/>
                <w:bCs/>
                <w:sz w:val="18"/>
                <w:szCs w:val="18"/>
              </w:rPr>
            </w:pPr>
            <w:r>
              <w:rPr>
                <w:rFonts w:hint="eastAsia" w:ascii="宋体" w:hAnsi="宋体" w:eastAsia="宋体" w:cs="宋体"/>
                <w:sz w:val="18"/>
                <w:szCs w:val="18"/>
              </w:rPr>
              <w:t>澳大利亚</w:t>
            </w:r>
          </w:p>
        </w:tc>
        <w:tc>
          <w:tcPr>
            <w:tcW w:w="1913" w:type="dxa"/>
            <w:noWrap w:val="0"/>
            <w:vAlign w:val="center"/>
          </w:tcPr>
          <w:p w14:paraId="1AADF94A">
            <w:pPr>
              <w:spacing w:line="240" w:lineRule="auto"/>
              <w:jc w:val="center"/>
              <w:rPr>
                <w:rFonts w:hint="eastAsia" w:ascii="宋体" w:hAnsi="宋体" w:eastAsia="宋体" w:cs="宋体"/>
                <w:bCs/>
                <w:sz w:val="18"/>
                <w:szCs w:val="18"/>
              </w:rPr>
            </w:pPr>
            <w:r>
              <w:rPr>
                <w:rFonts w:hint="eastAsia" w:ascii="宋体" w:hAnsi="宋体" w:eastAsia="宋体" w:cs="宋体"/>
                <w:sz w:val="18"/>
                <w:szCs w:val="18"/>
              </w:rPr>
              <w:t>10.8</w:t>
            </w:r>
          </w:p>
        </w:tc>
        <w:tc>
          <w:tcPr>
            <w:tcW w:w="2057" w:type="dxa"/>
            <w:noWrap w:val="0"/>
            <w:vAlign w:val="center"/>
          </w:tcPr>
          <w:p w14:paraId="11C8AF03">
            <w:pPr>
              <w:spacing w:line="240" w:lineRule="auto"/>
              <w:jc w:val="center"/>
              <w:rPr>
                <w:rFonts w:hint="eastAsia" w:ascii="宋体" w:hAnsi="宋体" w:eastAsia="宋体" w:cs="宋体"/>
                <w:bCs/>
                <w:sz w:val="18"/>
                <w:szCs w:val="18"/>
              </w:rPr>
            </w:pPr>
            <w:r>
              <w:rPr>
                <w:rFonts w:hint="eastAsia" w:ascii="宋体" w:hAnsi="宋体" w:eastAsia="宋体" w:cs="宋体"/>
                <w:sz w:val="18"/>
                <w:szCs w:val="18"/>
              </w:rPr>
              <w:t>58.3</w:t>
            </w:r>
          </w:p>
        </w:tc>
      </w:tr>
      <w:tr w14:paraId="212B54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jc w:val="center"/>
        </w:trPr>
        <w:tc>
          <w:tcPr>
            <w:tcW w:w="1101" w:type="dxa"/>
            <w:noWrap w:val="0"/>
            <w:vAlign w:val="center"/>
          </w:tcPr>
          <w:p w14:paraId="7170FA52">
            <w:pPr>
              <w:spacing w:line="240" w:lineRule="auto"/>
              <w:jc w:val="center"/>
              <w:rPr>
                <w:rFonts w:hint="eastAsia" w:ascii="宋体" w:hAnsi="宋体" w:eastAsia="宋体" w:cs="宋体"/>
                <w:bCs/>
                <w:sz w:val="18"/>
                <w:szCs w:val="18"/>
              </w:rPr>
            </w:pPr>
            <w:r>
              <w:rPr>
                <w:rFonts w:hint="eastAsia" w:ascii="宋体" w:hAnsi="宋体" w:eastAsia="宋体" w:cs="宋体"/>
                <w:bCs/>
                <w:sz w:val="18"/>
                <w:szCs w:val="18"/>
              </w:rPr>
              <w:t>9</w:t>
            </w:r>
          </w:p>
        </w:tc>
        <w:tc>
          <w:tcPr>
            <w:tcW w:w="3118" w:type="dxa"/>
            <w:noWrap w:val="0"/>
            <w:vAlign w:val="center"/>
          </w:tcPr>
          <w:p w14:paraId="5548F16B">
            <w:pPr>
              <w:spacing w:line="240" w:lineRule="auto"/>
              <w:jc w:val="center"/>
              <w:rPr>
                <w:rFonts w:hint="eastAsia" w:ascii="宋体" w:hAnsi="宋体" w:eastAsia="宋体" w:cs="宋体"/>
                <w:bCs/>
                <w:sz w:val="18"/>
                <w:szCs w:val="18"/>
              </w:rPr>
            </w:pPr>
            <w:r>
              <w:rPr>
                <w:rFonts w:hint="eastAsia" w:ascii="宋体" w:hAnsi="宋体" w:eastAsia="宋体" w:cs="宋体"/>
                <w:sz w:val="18"/>
                <w:szCs w:val="18"/>
              </w:rPr>
              <w:t>墨西哥</w:t>
            </w:r>
          </w:p>
        </w:tc>
        <w:tc>
          <w:tcPr>
            <w:tcW w:w="1913" w:type="dxa"/>
            <w:noWrap w:val="0"/>
            <w:vAlign w:val="center"/>
          </w:tcPr>
          <w:p w14:paraId="3059D44F">
            <w:pPr>
              <w:spacing w:line="240" w:lineRule="auto"/>
              <w:jc w:val="center"/>
              <w:rPr>
                <w:rFonts w:hint="eastAsia" w:ascii="宋体" w:hAnsi="宋体" w:eastAsia="宋体" w:cs="宋体"/>
                <w:bCs/>
                <w:sz w:val="18"/>
                <w:szCs w:val="18"/>
              </w:rPr>
            </w:pPr>
            <w:r>
              <w:rPr>
                <w:rFonts w:hint="eastAsia" w:ascii="宋体" w:hAnsi="宋体" w:eastAsia="宋体" w:cs="宋体"/>
                <w:sz w:val="18"/>
                <w:szCs w:val="18"/>
              </w:rPr>
              <w:t>9.7</w:t>
            </w:r>
          </w:p>
        </w:tc>
        <w:tc>
          <w:tcPr>
            <w:tcW w:w="2057" w:type="dxa"/>
            <w:noWrap w:val="0"/>
            <w:vAlign w:val="center"/>
          </w:tcPr>
          <w:p w14:paraId="686C8864">
            <w:pPr>
              <w:spacing w:line="240" w:lineRule="auto"/>
              <w:jc w:val="center"/>
              <w:rPr>
                <w:rFonts w:hint="eastAsia" w:ascii="宋体" w:hAnsi="宋体" w:eastAsia="宋体" w:cs="宋体"/>
                <w:bCs/>
                <w:sz w:val="18"/>
                <w:szCs w:val="18"/>
              </w:rPr>
            </w:pPr>
            <w:r>
              <w:rPr>
                <w:rFonts w:hint="eastAsia" w:ascii="宋体" w:hAnsi="宋体" w:eastAsia="宋体" w:cs="宋体"/>
                <w:sz w:val="18"/>
                <w:szCs w:val="18"/>
              </w:rPr>
              <w:t>67.7</w:t>
            </w:r>
          </w:p>
        </w:tc>
      </w:tr>
      <w:tr w14:paraId="467DEC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jc w:val="center"/>
        </w:trPr>
        <w:tc>
          <w:tcPr>
            <w:tcW w:w="1101" w:type="dxa"/>
            <w:noWrap w:val="0"/>
            <w:vAlign w:val="center"/>
          </w:tcPr>
          <w:p w14:paraId="1840C28D">
            <w:pPr>
              <w:spacing w:line="240" w:lineRule="auto"/>
              <w:jc w:val="center"/>
              <w:rPr>
                <w:rFonts w:hint="eastAsia" w:ascii="宋体" w:hAnsi="宋体" w:eastAsia="宋体" w:cs="宋体"/>
                <w:bCs/>
                <w:sz w:val="18"/>
                <w:szCs w:val="18"/>
              </w:rPr>
            </w:pPr>
            <w:r>
              <w:rPr>
                <w:rFonts w:hint="eastAsia" w:ascii="宋体" w:hAnsi="宋体" w:eastAsia="宋体" w:cs="宋体"/>
                <w:bCs/>
                <w:sz w:val="18"/>
                <w:szCs w:val="18"/>
              </w:rPr>
              <w:t>10</w:t>
            </w:r>
          </w:p>
        </w:tc>
        <w:tc>
          <w:tcPr>
            <w:tcW w:w="3118" w:type="dxa"/>
            <w:noWrap w:val="0"/>
            <w:vAlign w:val="center"/>
          </w:tcPr>
          <w:p w14:paraId="7CF3E222">
            <w:pPr>
              <w:spacing w:line="240" w:lineRule="auto"/>
              <w:jc w:val="center"/>
              <w:rPr>
                <w:rFonts w:hint="eastAsia" w:ascii="宋体" w:hAnsi="宋体" w:eastAsia="宋体" w:cs="宋体"/>
                <w:bCs/>
                <w:sz w:val="18"/>
                <w:szCs w:val="18"/>
              </w:rPr>
            </w:pPr>
            <w:r>
              <w:rPr>
                <w:rFonts w:hint="eastAsia" w:ascii="宋体" w:hAnsi="宋体" w:eastAsia="宋体" w:cs="宋体"/>
                <w:sz w:val="18"/>
                <w:szCs w:val="18"/>
              </w:rPr>
              <w:t>泰国</w:t>
            </w:r>
          </w:p>
        </w:tc>
        <w:tc>
          <w:tcPr>
            <w:tcW w:w="1913" w:type="dxa"/>
            <w:noWrap w:val="0"/>
            <w:vAlign w:val="center"/>
          </w:tcPr>
          <w:p w14:paraId="25D1724D">
            <w:pPr>
              <w:spacing w:line="240" w:lineRule="auto"/>
              <w:jc w:val="center"/>
              <w:rPr>
                <w:rFonts w:hint="eastAsia" w:ascii="宋体" w:hAnsi="宋体" w:eastAsia="宋体" w:cs="宋体"/>
                <w:bCs/>
                <w:sz w:val="18"/>
                <w:szCs w:val="18"/>
              </w:rPr>
            </w:pPr>
            <w:r>
              <w:rPr>
                <w:rFonts w:hint="eastAsia" w:ascii="宋体" w:hAnsi="宋体" w:eastAsia="宋体" w:cs="宋体"/>
                <w:sz w:val="18"/>
                <w:szCs w:val="18"/>
              </w:rPr>
              <w:t>8.5</w:t>
            </w:r>
          </w:p>
        </w:tc>
        <w:tc>
          <w:tcPr>
            <w:tcW w:w="2057" w:type="dxa"/>
            <w:noWrap w:val="0"/>
            <w:vAlign w:val="center"/>
          </w:tcPr>
          <w:p w14:paraId="216E7016">
            <w:pPr>
              <w:spacing w:line="240" w:lineRule="auto"/>
              <w:jc w:val="center"/>
              <w:rPr>
                <w:rFonts w:hint="eastAsia" w:ascii="宋体" w:hAnsi="宋体" w:eastAsia="宋体" w:cs="宋体"/>
                <w:bCs/>
                <w:sz w:val="18"/>
                <w:szCs w:val="18"/>
              </w:rPr>
            </w:pPr>
            <w:r>
              <w:rPr>
                <w:rFonts w:hint="eastAsia" w:ascii="宋体" w:hAnsi="宋体" w:eastAsia="宋体" w:cs="宋体"/>
                <w:sz w:val="18"/>
                <w:szCs w:val="18"/>
              </w:rPr>
              <w:t>71.4</w:t>
            </w:r>
          </w:p>
        </w:tc>
      </w:tr>
    </w:tbl>
    <w:p w14:paraId="3175ACD8">
      <w:pPr>
        <w:spacing w:line="240" w:lineRule="auto"/>
        <w:ind w:firstLine="420" w:firstLineChars="200"/>
        <w:jc w:val="both"/>
        <w:rPr>
          <w:rFonts w:hint="eastAsia"/>
        </w:rPr>
      </w:pPr>
    </w:p>
    <w:p w14:paraId="5B6782B4">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22" w:name="_Toc230102052"/>
      <w:r>
        <w:rPr>
          <w:rFonts w:hint="eastAsia" w:ascii="宋体" w:hAnsi="宋体" w:eastAsia="宋体" w:cs="宋体"/>
          <w:b/>
          <w:bCs/>
          <w:sz w:val="21"/>
          <w:szCs w:val="21"/>
          <w:lang w:val="en-US" w:eastAsia="zh-CN"/>
        </w:rPr>
        <w:t>（3）出口硫酸来源</w:t>
      </w:r>
      <w:bookmarkEnd w:id="22"/>
    </w:p>
    <w:p w14:paraId="1B5BF472">
      <w:pPr>
        <w:jc w:val="center"/>
        <w:rPr>
          <w:rFonts w:hint="eastAsia" w:ascii="黑体" w:eastAsia="黑体"/>
          <w:b/>
        </w:rPr>
      </w:pPr>
      <w:r>
        <w:drawing>
          <wp:inline distT="0" distB="0" distL="114300" distR="114300">
            <wp:extent cx="4446905" cy="2124075"/>
            <wp:effectExtent l="0" t="0" r="10795" b="9525"/>
            <wp:docPr id="1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0"/>
                    <pic:cNvPicPr>
                      <a:picLocks noChangeAspect="1"/>
                    </pic:cNvPicPr>
                  </pic:nvPicPr>
                  <pic:blipFill>
                    <a:blip r:embed="rId13"/>
                    <a:srcRect t="17390" b="4349"/>
                    <a:stretch>
                      <a:fillRect/>
                    </a:stretch>
                  </pic:blipFill>
                  <pic:spPr>
                    <a:xfrm>
                      <a:off x="0" y="0"/>
                      <a:ext cx="4446905" cy="2124075"/>
                    </a:xfrm>
                    <a:prstGeom prst="rect">
                      <a:avLst/>
                    </a:prstGeom>
                    <a:noFill/>
                    <a:ln>
                      <a:noFill/>
                    </a:ln>
                  </pic:spPr>
                </pic:pic>
              </a:graphicData>
            </a:graphic>
          </wp:inline>
        </w:drawing>
      </w:r>
    </w:p>
    <w:p w14:paraId="5752FFA3">
      <w:pPr>
        <w:pageBreakBefore w:val="0"/>
        <w:kinsoku/>
        <w:wordWrap/>
        <w:overflowPunct/>
        <w:topLinePunct w:val="0"/>
        <w:autoSpaceDE/>
        <w:autoSpaceDN/>
        <w:bidi w:val="0"/>
        <w:spacing w:line="400" w:lineRule="exact"/>
        <w:jc w:val="center"/>
        <w:textAlignment w:val="auto"/>
        <w:rPr>
          <w:rFonts w:hint="eastAsia" w:ascii="宋体" w:hAnsi="宋体" w:eastAsia="宋体" w:cs="宋体"/>
          <w:b/>
          <w:sz w:val="21"/>
          <w:szCs w:val="21"/>
        </w:rPr>
      </w:pPr>
      <w:bookmarkStart w:id="23" w:name="_Hlk72421676"/>
      <w:r>
        <w:rPr>
          <w:rFonts w:hint="eastAsia" w:ascii="宋体" w:hAnsi="宋体" w:eastAsia="宋体" w:cs="宋体"/>
          <w:b/>
          <w:sz w:val="21"/>
          <w:szCs w:val="21"/>
        </w:rPr>
        <w:t>图</w:t>
      </w:r>
      <w:r>
        <w:rPr>
          <w:rFonts w:hint="eastAsia" w:ascii="宋体" w:hAnsi="宋体" w:eastAsia="宋体" w:cs="宋体"/>
          <w:b/>
          <w:sz w:val="21"/>
          <w:szCs w:val="21"/>
          <w:lang w:val="en-US" w:eastAsia="zh-CN"/>
        </w:rPr>
        <w:t>10</w:t>
      </w:r>
      <w:r>
        <w:rPr>
          <w:rFonts w:hint="eastAsia" w:ascii="宋体" w:hAnsi="宋体" w:eastAsia="宋体" w:cs="宋体"/>
          <w:b/>
          <w:sz w:val="21"/>
          <w:szCs w:val="21"/>
        </w:rPr>
        <w:t xml:space="preserve"> 2025年我国出口硫酸来源（按企业注册地分）</w:t>
      </w:r>
    </w:p>
    <w:bookmarkEnd w:id="23"/>
    <w:p w14:paraId="0F936863">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据海关统计，2025年，我国出口硫酸主要来自广西、江苏、安徽。</w:t>
      </w:r>
    </w:p>
    <w:p w14:paraId="4D8E9A00">
      <w:pPr>
        <w:pageBreakBefore w:val="0"/>
        <w:kinsoku/>
        <w:wordWrap/>
        <w:overflowPunct/>
        <w:topLinePunct w:val="0"/>
        <w:autoSpaceDE/>
        <w:autoSpaceDN/>
        <w:bidi w:val="0"/>
        <w:spacing w:line="400" w:lineRule="exact"/>
        <w:jc w:val="center"/>
        <w:textAlignment w:val="auto"/>
        <w:rPr>
          <w:rFonts w:hint="eastAsia" w:ascii="宋体" w:hAnsi="宋体" w:eastAsia="宋体" w:cs="宋体"/>
          <w:b/>
          <w:sz w:val="21"/>
          <w:szCs w:val="21"/>
        </w:rPr>
      </w:pPr>
      <w:r>
        <w:rPr>
          <w:rFonts w:hint="eastAsia" w:ascii="宋体" w:hAnsi="宋体" w:eastAsia="宋体" w:cs="宋体"/>
          <w:b/>
          <w:sz w:val="21"/>
          <w:szCs w:val="21"/>
        </w:rPr>
        <w:t>表</w:t>
      </w:r>
      <w:r>
        <w:rPr>
          <w:rFonts w:hint="eastAsia" w:ascii="宋体" w:hAnsi="宋体" w:eastAsia="宋体" w:cs="宋体"/>
          <w:b/>
          <w:sz w:val="21"/>
          <w:szCs w:val="21"/>
          <w:lang w:val="en-US" w:eastAsia="zh-CN"/>
        </w:rPr>
        <w:t>5</w:t>
      </w:r>
      <w:r>
        <w:rPr>
          <w:rFonts w:hint="eastAsia" w:ascii="宋体" w:hAnsi="宋体" w:eastAsia="宋体" w:cs="宋体"/>
          <w:b/>
          <w:sz w:val="21"/>
          <w:szCs w:val="21"/>
        </w:rPr>
        <w:t xml:space="preserve"> 2025年我国出口硫酸来源主要省份（按企业注册地分）</w:t>
      </w:r>
    </w:p>
    <w:tbl>
      <w:tblPr>
        <w:tblStyle w:val="17"/>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828"/>
        <w:gridCol w:w="1828"/>
        <w:gridCol w:w="1828"/>
        <w:gridCol w:w="2306"/>
      </w:tblGrid>
      <w:tr w14:paraId="069F67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exact"/>
          <w:jc w:val="center"/>
        </w:trPr>
        <w:tc>
          <w:tcPr>
            <w:tcW w:w="1828" w:type="dxa"/>
            <w:noWrap w:val="0"/>
            <w:vAlign w:val="center"/>
          </w:tcPr>
          <w:p w14:paraId="309189BA">
            <w:pPr>
              <w:spacing w:line="240" w:lineRule="auto"/>
              <w:jc w:val="center"/>
              <w:rPr>
                <w:rFonts w:hint="eastAsia" w:ascii="宋体" w:hAnsi="宋体" w:eastAsia="宋体" w:cs="宋体"/>
                <w:b/>
                <w:bCs/>
                <w:sz w:val="18"/>
                <w:szCs w:val="18"/>
              </w:rPr>
            </w:pPr>
            <w:r>
              <w:rPr>
                <w:rFonts w:hint="eastAsia" w:ascii="宋体" w:hAnsi="宋体" w:eastAsia="宋体" w:cs="宋体"/>
                <w:b/>
                <w:bCs/>
                <w:sz w:val="18"/>
                <w:szCs w:val="18"/>
              </w:rPr>
              <w:t>排名</w:t>
            </w:r>
          </w:p>
        </w:tc>
        <w:tc>
          <w:tcPr>
            <w:tcW w:w="1828" w:type="dxa"/>
            <w:noWrap w:val="0"/>
            <w:vAlign w:val="center"/>
          </w:tcPr>
          <w:p w14:paraId="48879244">
            <w:pPr>
              <w:spacing w:line="240" w:lineRule="auto"/>
              <w:jc w:val="center"/>
              <w:rPr>
                <w:rFonts w:hint="eastAsia" w:ascii="宋体" w:hAnsi="宋体" w:eastAsia="宋体" w:cs="宋体"/>
                <w:b/>
                <w:bCs/>
                <w:sz w:val="18"/>
                <w:szCs w:val="18"/>
              </w:rPr>
            </w:pPr>
            <w:r>
              <w:rPr>
                <w:rFonts w:hint="eastAsia" w:ascii="宋体" w:hAnsi="宋体" w:eastAsia="宋体" w:cs="宋体"/>
                <w:b/>
                <w:bCs/>
                <w:sz w:val="18"/>
                <w:szCs w:val="18"/>
              </w:rPr>
              <w:t>省份</w:t>
            </w:r>
          </w:p>
        </w:tc>
        <w:tc>
          <w:tcPr>
            <w:tcW w:w="1828" w:type="dxa"/>
            <w:noWrap w:val="0"/>
            <w:vAlign w:val="center"/>
          </w:tcPr>
          <w:p w14:paraId="4DAAAE0D">
            <w:pPr>
              <w:spacing w:line="240" w:lineRule="auto"/>
              <w:jc w:val="center"/>
              <w:rPr>
                <w:rFonts w:hint="eastAsia" w:ascii="宋体" w:hAnsi="宋体" w:eastAsia="宋体" w:cs="宋体"/>
                <w:b/>
                <w:bCs/>
                <w:sz w:val="18"/>
                <w:szCs w:val="18"/>
              </w:rPr>
            </w:pPr>
            <w:r>
              <w:rPr>
                <w:rFonts w:hint="eastAsia" w:ascii="宋体" w:hAnsi="宋体" w:eastAsia="宋体" w:cs="宋体"/>
                <w:b/>
                <w:bCs/>
                <w:sz w:val="18"/>
                <w:szCs w:val="18"/>
              </w:rPr>
              <w:t>数量（万吨）</w:t>
            </w:r>
          </w:p>
        </w:tc>
        <w:tc>
          <w:tcPr>
            <w:tcW w:w="2306" w:type="dxa"/>
            <w:noWrap w:val="0"/>
            <w:vAlign w:val="center"/>
          </w:tcPr>
          <w:p w14:paraId="2DEA9FD7">
            <w:pPr>
              <w:spacing w:line="240" w:lineRule="auto"/>
              <w:jc w:val="center"/>
              <w:rPr>
                <w:rFonts w:hint="eastAsia" w:ascii="宋体" w:hAnsi="宋体" w:eastAsia="宋体" w:cs="宋体"/>
                <w:b/>
                <w:bCs/>
                <w:sz w:val="18"/>
                <w:szCs w:val="18"/>
              </w:rPr>
            </w:pPr>
            <w:r>
              <w:rPr>
                <w:rFonts w:hint="eastAsia" w:ascii="宋体" w:hAnsi="宋体" w:eastAsia="宋体" w:cs="宋体"/>
                <w:b/>
                <w:bCs/>
                <w:sz w:val="18"/>
                <w:szCs w:val="18"/>
              </w:rPr>
              <w:t>价格（美元/吨）</w:t>
            </w:r>
          </w:p>
        </w:tc>
      </w:tr>
      <w:tr w14:paraId="63544F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exact"/>
          <w:jc w:val="center"/>
        </w:trPr>
        <w:tc>
          <w:tcPr>
            <w:tcW w:w="1828" w:type="dxa"/>
            <w:noWrap w:val="0"/>
            <w:vAlign w:val="center"/>
          </w:tcPr>
          <w:p w14:paraId="0B235041">
            <w:pPr>
              <w:spacing w:line="240" w:lineRule="auto"/>
              <w:jc w:val="center"/>
              <w:rPr>
                <w:rFonts w:hint="eastAsia" w:ascii="宋体" w:hAnsi="宋体" w:eastAsia="宋体" w:cs="宋体"/>
                <w:bCs/>
                <w:sz w:val="18"/>
                <w:szCs w:val="18"/>
              </w:rPr>
            </w:pPr>
            <w:r>
              <w:rPr>
                <w:rFonts w:hint="eastAsia" w:ascii="宋体" w:hAnsi="宋体" w:eastAsia="宋体" w:cs="宋体"/>
                <w:bCs/>
                <w:sz w:val="18"/>
                <w:szCs w:val="18"/>
              </w:rPr>
              <w:t>1</w:t>
            </w:r>
          </w:p>
        </w:tc>
        <w:tc>
          <w:tcPr>
            <w:tcW w:w="1828" w:type="dxa"/>
            <w:noWrap w:val="0"/>
            <w:vAlign w:val="center"/>
          </w:tcPr>
          <w:p w14:paraId="20B10423">
            <w:pPr>
              <w:spacing w:line="240" w:lineRule="auto"/>
              <w:jc w:val="center"/>
              <w:rPr>
                <w:rFonts w:hint="eastAsia" w:ascii="宋体" w:hAnsi="宋体" w:eastAsia="宋体" w:cs="宋体"/>
                <w:bCs/>
                <w:sz w:val="18"/>
                <w:szCs w:val="18"/>
              </w:rPr>
            </w:pPr>
            <w:r>
              <w:rPr>
                <w:rFonts w:hint="eastAsia" w:ascii="宋体" w:hAnsi="宋体" w:eastAsia="宋体" w:cs="宋体"/>
                <w:sz w:val="18"/>
                <w:szCs w:val="18"/>
              </w:rPr>
              <w:t>广西</w:t>
            </w:r>
          </w:p>
        </w:tc>
        <w:tc>
          <w:tcPr>
            <w:tcW w:w="1828" w:type="dxa"/>
            <w:noWrap w:val="0"/>
            <w:vAlign w:val="center"/>
          </w:tcPr>
          <w:p w14:paraId="170B37E4">
            <w:pPr>
              <w:spacing w:line="240" w:lineRule="auto"/>
              <w:jc w:val="center"/>
              <w:rPr>
                <w:rFonts w:hint="eastAsia" w:ascii="宋体" w:hAnsi="宋体" w:eastAsia="宋体" w:cs="宋体"/>
                <w:bCs/>
                <w:sz w:val="18"/>
                <w:szCs w:val="18"/>
              </w:rPr>
            </w:pPr>
            <w:r>
              <w:rPr>
                <w:rFonts w:hint="eastAsia" w:ascii="宋体" w:hAnsi="宋体" w:eastAsia="宋体" w:cs="宋体"/>
                <w:sz w:val="18"/>
                <w:szCs w:val="18"/>
              </w:rPr>
              <w:t>147.3</w:t>
            </w:r>
          </w:p>
        </w:tc>
        <w:tc>
          <w:tcPr>
            <w:tcW w:w="2306" w:type="dxa"/>
            <w:noWrap w:val="0"/>
            <w:vAlign w:val="center"/>
          </w:tcPr>
          <w:p w14:paraId="361C1E7D">
            <w:pPr>
              <w:spacing w:line="240" w:lineRule="auto"/>
              <w:jc w:val="center"/>
              <w:rPr>
                <w:rFonts w:hint="eastAsia" w:ascii="宋体" w:hAnsi="宋体" w:eastAsia="宋体" w:cs="宋体"/>
                <w:bCs/>
                <w:sz w:val="18"/>
                <w:szCs w:val="18"/>
              </w:rPr>
            </w:pPr>
            <w:r>
              <w:rPr>
                <w:rFonts w:hint="eastAsia" w:ascii="宋体" w:hAnsi="宋体" w:eastAsia="宋体" w:cs="宋体"/>
                <w:sz w:val="18"/>
                <w:szCs w:val="18"/>
              </w:rPr>
              <w:t>50.9</w:t>
            </w:r>
          </w:p>
        </w:tc>
      </w:tr>
      <w:tr w14:paraId="009417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exact"/>
          <w:jc w:val="center"/>
        </w:trPr>
        <w:tc>
          <w:tcPr>
            <w:tcW w:w="1828" w:type="dxa"/>
            <w:noWrap w:val="0"/>
            <w:vAlign w:val="center"/>
          </w:tcPr>
          <w:p w14:paraId="024080C0">
            <w:pPr>
              <w:spacing w:line="240" w:lineRule="auto"/>
              <w:jc w:val="center"/>
              <w:rPr>
                <w:rFonts w:hint="eastAsia" w:ascii="宋体" w:hAnsi="宋体" w:eastAsia="宋体" w:cs="宋体"/>
                <w:bCs/>
                <w:sz w:val="18"/>
                <w:szCs w:val="18"/>
              </w:rPr>
            </w:pPr>
            <w:r>
              <w:rPr>
                <w:rFonts w:hint="eastAsia" w:ascii="宋体" w:hAnsi="宋体" w:eastAsia="宋体" w:cs="宋体"/>
                <w:bCs/>
                <w:sz w:val="18"/>
                <w:szCs w:val="18"/>
              </w:rPr>
              <w:t>2</w:t>
            </w:r>
          </w:p>
        </w:tc>
        <w:tc>
          <w:tcPr>
            <w:tcW w:w="1828" w:type="dxa"/>
            <w:noWrap w:val="0"/>
            <w:vAlign w:val="center"/>
          </w:tcPr>
          <w:p w14:paraId="4D7B434F">
            <w:pPr>
              <w:spacing w:line="240" w:lineRule="auto"/>
              <w:jc w:val="center"/>
              <w:rPr>
                <w:rFonts w:hint="eastAsia" w:ascii="宋体" w:hAnsi="宋体" w:eastAsia="宋体" w:cs="宋体"/>
                <w:bCs/>
                <w:sz w:val="18"/>
                <w:szCs w:val="18"/>
              </w:rPr>
            </w:pPr>
            <w:r>
              <w:rPr>
                <w:rFonts w:hint="eastAsia" w:ascii="宋体" w:hAnsi="宋体" w:eastAsia="宋体" w:cs="宋体"/>
                <w:sz w:val="18"/>
                <w:szCs w:val="18"/>
              </w:rPr>
              <w:t>江苏</w:t>
            </w:r>
          </w:p>
        </w:tc>
        <w:tc>
          <w:tcPr>
            <w:tcW w:w="1828" w:type="dxa"/>
            <w:noWrap w:val="0"/>
            <w:vAlign w:val="center"/>
          </w:tcPr>
          <w:p w14:paraId="0424BE47">
            <w:pPr>
              <w:spacing w:line="240" w:lineRule="auto"/>
              <w:jc w:val="center"/>
              <w:rPr>
                <w:rFonts w:hint="eastAsia" w:ascii="宋体" w:hAnsi="宋体" w:eastAsia="宋体" w:cs="宋体"/>
                <w:bCs/>
                <w:sz w:val="18"/>
                <w:szCs w:val="18"/>
              </w:rPr>
            </w:pPr>
            <w:r>
              <w:rPr>
                <w:rFonts w:hint="eastAsia" w:ascii="宋体" w:hAnsi="宋体" w:eastAsia="宋体" w:cs="宋体"/>
                <w:sz w:val="18"/>
                <w:szCs w:val="18"/>
              </w:rPr>
              <w:t>118.0</w:t>
            </w:r>
          </w:p>
        </w:tc>
        <w:tc>
          <w:tcPr>
            <w:tcW w:w="2306" w:type="dxa"/>
            <w:noWrap w:val="0"/>
            <w:vAlign w:val="center"/>
          </w:tcPr>
          <w:p w14:paraId="30B3F59F">
            <w:pPr>
              <w:spacing w:line="240" w:lineRule="auto"/>
              <w:jc w:val="center"/>
              <w:rPr>
                <w:rFonts w:hint="eastAsia" w:ascii="宋体" w:hAnsi="宋体" w:eastAsia="宋体" w:cs="宋体"/>
                <w:bCs/>
                <w:sz w:val="18"/>
                <w:szCs w:val="18"/>
              </w:rPr>
            </w:pPr>
            <w:r>
              <w:rPr>
                <w:rFonts w:hint="eastAsia" w:ascii="宋体" w:hAnsi="宋体" w:eastAsia="宋体" w:cs="宋体"/>
                <w:sz w:val="18"/>
                <w:szCs w:val="18"/>
              </w:rPr>
              <w:t>61.7</w:t>
            </w:r>
          </w:p>
        </w:tc>
      </w:tr>
      <w:tr w14:paraId="61145B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exact"/>
          <w:jc w:val="center"/>
        </w:trPr>
        <w:tc>
          <w:tcPr>
            <w:tcW w:w="1828" w:type="dxa"/>
            <w:noWrap w:val="0"/>
            <w:vAlign w:val="center"/>
          </w:tcPr>
          <w:p w14:paraId="1358778D">
            <w:pPr>
              <w:spacing w:line="240" w:lineRule="auto"/>
              <w:jc w:val="center"/>
              <w:rPr>
                <w:rFonts w:hint="eastAsia" w:ascii="宋体" w:hAnsi="宋体" w:eastAsia="宋体" w:cs="宋体"/>
                <w:bCs/>
                <w:sz w:val="18"/>
                <w:szCs w:val="18"/>
              </w:rPr>
            </w:pPr>
            <w:r>
              <w:rPr>
                <w:rFonts w:hint="eastAsia" w:ascii="宋体" w:hAnsi="宋体" w:eastAsia="宋体" w:cs="宋体"/>
                <w:bCs/>
                <w:sz w:val="18"/>
                <w:szCs w:val="18"/>
              </w:rPr>
              <w:t>3</w:t>
            </w:r>
          </w:p>
        </w:tc>
        <w:tc>
          <w:tcPr>
            <w:tcW w:w="1828" w:type="dxa"/>
            <w:noWrap w:val="0"/>
            <w:vAlign w:val="center"/>
          </w:tcPr>
          <w:p w14:paraId="1453EF43">
            <w:pPr>
              <w:spacing w:line="240" w:lineRule="auto"/>
              <w:jc w:val="center"/>
              <w:rPr>
                <w:rFonts w:hint="eastAsia" w:ascii="宋体" w:hAnsi="宋体" w:eastAsia="宋体" w:cs="宋体"/>
                <w:bCs/>
                <w:sz w:val="18"/>
                <w:szCs w:val="18"/>
              </w:rPr>
            </w:pPr>
            <w:r>
              <w:rPr>
                <w:rFonts w:hint="eastAsia" w:ascii="宋体" w:hAnsi="宋体" w:eastAsia="宋体" w:cs="宋体"/>
                <w:sz w:val="18"/>
                <w:szCs w:val="18"/>
              </w:rPr>
              <w:t>安徽</w:t>
            </w:r>
          </w:p>
        </w:tc>
        <w:tc>
          <w:tcPr>
            <w:tcW w:w="1828" w:type="dxa"/>
            <w:noWrap w:val="0"/>
            <w:vAlign w:val="center"/>
          </w:tcPr>
          <w:p w14:paraId="1DA733F6">
            <w:pPr>
              <w:spacing w:line="240" w:lineRule="auto"/>
              <w:jc w:val="center"/>
              <w:rPr>
                <w:rFonts w:hint="eastAsia" w:ascii="宋体" w:hAnsi="宋体" w:eastAsia="宋体" w:cs="宋体"/>
                <w:bCs/>
                <w:sz w:val="18"/>
                <w:szCs w:val="18"/>
              </w:rPr>
            </w:pPr>
            <w:r>
              <w:rPr>
                <w:rFonts w:hint="eastAsia" w:ascii="宋体" w:hAnsi="宋体" w:eastAsia="宋体" w:cs="宋体"/>
                <w:sz w:val="18"/>
                <w:szCs w:val="18"/>
              </w:rPr>
              <w:t>111.7</w:t>
            </w:r>
          </w:p>
        </w:tc>
        <w:tc>
          <w:tcPr>
            <w:tcW w:w="2306" w:type="dxa"/>
            <w:noWrap w:val="0"/>
            <w:vAlign w:val="center"/>
          </w:tcPr>
          <w:p w14:paraId="029AC8BA">
            <w:pPr>
              <w:spacing w:line="240" w:lineRule="auto"/>
              <w:jc w:val="center"/>
              <w:rPr>
                <w:rFonts w:hint="eastAsia" w:ascii="宋体" w:hAnsi="宋体" w:eastAsia="宋体" w:cs="宋体"/>
                <w:bCs/>
                <w:sz w:val="18"/>
                <w:szCs w:val="18"/>
              </w:rPr>
            </w:pPr>
            <w:r>
              <w:rPr>
                <w:rFonts w:hint="eastAsia" w:ascii="宋体" w:hAnsi="宋体" w:eastAsia="宋体" w:cs="宋体"/>
                <w:sz w:val="18"/>
                <w:szCs w:val="18"/>
              </w:rPr>
              <w:t>73.9</w:t>
            </w:r>
          </w:p>
        </w:tc>
      </w:tr>
      <w:tr w14:paraId="393C46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exact"/>
          <w:jc w:val="center"/>
        </w:trPr>
        <w:tc>
          <w:tcPr>
            <w:tcW w:w="1828" w:type="dxa"/>
            <w:noWrap w:val="0"/>
            <w:vAlign w:val="center"/>
          </w:tcPr>
          <w:p w14:paraId="205991CB">
            <w:pPr>
              <w:spacing w:line="240" w:lineRule="auto"/>
              <w:jc w:val="center"/>
              <w:rPr>
                <w:rFonts w:hint="eastAsia" w:ascii="宋体" w:hAnsi="宋体" w:eastAsia="宋体" w:cs="宋体"/>
                <w:bCs/>
                <w:sz w:val="18"/>
                <w:szCs w:val="18"/>
              </w:rPr>
            </w:pPr>
            <w:r>
              <w:rPr>
                <w:rFonts w:hint="eastAsia" w:ascii="宋体" w:hAnsi="宋体" w:eastAsia="宋体" w:cs="宋体"/>
                <w:bCs/>
                <w:sz w:val="18"/>
                <w:szCs w:val="18"/>
              </w:rPr>
              <w:t>4</w:t>
            </w:r>
          </w:p>
        </w:tc>
        <w:tc>
          <w:tcPr>
            <w:tcW w:w="1828" w:type="dxa"/>
            <w:noWrap w:val="0"/>
            <w:vAlign w:val="center"/>
          </w:tcPr>
          <w:p w14:paraId="0D7D4C34">
            <w:pPr>
              <w:spacing w:line="240" w:lineRule="auto"/>
              <w:jc w:val="center"/>
              <w:rPr>
                <w:rFonts w:hint="eastAsia" w:ascii="宋体" w:hAnsi="宋体" w:eastAsia="宋体" w:cs="宋体"/>
                <w:bCs/>
                <w:sz w:val="18"/>
                <w:szCs w:val="18"/>
              </w:rPr>
            </w:pPr>
            <w:r>
              <w:rPr>
                <w:rFonts w:hint="eastAsia" w:ascii="宋体" w:hAnsi="宋体" w:eastAsia="宋体" w:cs="宋体"/>
                <w:sz w:val="18"/>
                <w:szCs w:val="18"/>
              </w:rPr>
              <w:t>山东</w:t>
            </w:r>
          </w:p>
        </w:tc>
        <w:tc>
          <w:tcPr>
            <w:tcW w:w="1828" w:type="dxa"/>
            <w:noWrap w:val="0"/>
            <w:vAlign w:val="center"/>
          </w:tcPr>
          <w:p w14:paraId="7579E7AB">
            <w:pPr>
              <w:spacing w:line="240" w:lineRule="auto"/>
              <w:jc w:val="center"/>
              <w:rPr>
                <w:rFonts w:hint="eastAsia" w:ascii="宋体" w:hAnsi="宋体" w:eastAsia="宋体" w:cs="宋体"/>
                <w:bCs/>
                <w:sz w:val="18"/>
                <w:szCs w:val="18"/>
              </w:rPr>
            </w:pPr>
            <w:r>
              <w:rPr>
                <w:rFonts w:hint="eastAsia" w:ascii="宋体" w:hAnsi="宋体" w:eastAsia="宋体" w:cs="宋体"/>
                <w:sz w:val="18"/>
                <w:szCs w:val="18"/>
              </w:rPr>
              <w:t>51.4</w:t>
            </w:r>
          </w:p>
        </w:tc>
        <w:tc>
          <w:tcPr>
            <w:tcW w:w="2306" w:type="dxa"/>
            <w:noWrap w:val="0"/>
            <w:vAlign w:val="center"/>
          </w:tcPr>
          <w:p w14:paraId="47BF9853">
            <w:pPr>
              <w:spacing w:line="240" w:lineRule="auto"/>
              <w:jc w:val="center"/>
              <w:rPr>
                <w:rFonts w:hint="eastAsia" w:ascii="宋体" w:hAnsi="宋体" w:eastAsia="宋体" w:cs="宋体"/>
                <w:bCs/>
                <w:sz w:val="18"/>
                <w:szCs w:val="18"/>
              </w:rPr>
            </w:pPr>
            <w:r>
              <w:rPr>
                <w:rFonts w:hint="eastAsia" w:ascii="宋体" w:hAnsi="宋体" w:eastAsia="宋体" w:cs="宋体"/>
                <w:sz w:val="18"/>
                <w:szCs w:val="18"/>
              </w:rPr>
              <w:t>68.4</w:t>
            </w:r>
          </w:p>
        </w:tc>
      </w:tr>
      <w:tr w14:paraId="737269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exact"/>
          <w:jc w:val="center"/>
        </w:trPr>
        <w:tc>
          <w:tcPr>
            <w:tcW w:w="1828" w:type="dxa"/>
            <w:noWrap w:val="0"/>
            <w:vAlign w:val="center"/>
          </w:tcPr>
          <w:p w14:paraId="2B4528C2">
            <w:pPr>
              <w:spacing w:line="240" w:lineRule="auto"/>
              <w:jc w:val="center"/>
              <w:rPr>
                <w:rFonts w:hint="eastAsia" w:ascii="宋体" w:hAnsi="宋体" w:eastAsia="宋体" w:cs="宋体"/>
                <w:bCs/>
                <w:sz w:val="18"/>
                <w:szCs w:val="18"/>
              </w:rPr>
            </w:pPr>
            <w:r>
              <w:rPr>
                <w:rFonts w:hint="eastAsia" w:ascii="宋体" w:hAnsi="宋体" w:eastAsia="宋体" w:cs="宋体"/>
                <w:bCs/>
                <w:sz w:val="18"/>
                <w:szCs w:val="18"/>
              </w:rPr>
              <w:t>5</w:t>
            </w:r>
          </w:p>
        </w:tc>
        <w:tc>
          <w:tcPr>
            <w:tcW w:w="1828" w:type="dxa"/>
            <w:noWrap w:val="0"/>
            <w:vAlign w:val="center"/>
          </w:tcPr>
          <w:p w14:paraId="14320DD2">
            <w:pPr>
              <w:spacing w:line="240" w:lineRule="auto"/>
              <w:jc w:val="center"/>
              <w:rPr>
                <w:rFonts w:hint="eastAsia" w:ascii="宋体" w:hAnsi="宋体" w:eastAsia="宋体" w:cs="宋体"/>
                <w:bCs/>
                <w:sz w:val="18"/>
                <w:szCs w:val="18"/>
              </w:rPr>
            </w:pPr>
            <w:r>
              <w:rPr>
                <w:rFonts w:hint="eastAsia" w:ascii="宋体" w:hAnsi="宋体" w:eastAsia="宋体" w:cs="宋体"/>
                <w:sz w:val="18"/>
                <w:szCs w:val="18"/>
              </w:rPr>
              <w:t>上海</w:t>
            </w:r>
          </w:p>
        </w:tc>
        <w:tc>
          <w:tcPr>
            <w:tcW w:w="1828" w:type="dxa"/>
            <w:noWrap w:val="0"/>
            <w:vAlign w:val="center"/>
          </w:tcPr>
          <w:p w14:paraId="50F18DBB">
            <w:pPr>
              <w:spacing w:line="240" w:lineRule="auto"/>
              <w:jc w:val="center"/>
              <w:rPr>
                <w:rFonts w:hint="eastAsia" w:ascii="宋体" w:hAnsi="宋体" w:eastAsia="宋体" w:cs="宋体"/>
                <w:bCs/>
                <w:sz w:val="18"/>
                <w:szCs w:val="18"/>
              </w:rPr>
            </w:pPr>
            <w:r>
              <w:rPr>
                <w:rFonts w:hint="eastAsia" w:ascii="宋体" w:hAnsi="宋体" w:eastAsia="宋体" w:cs="宋体"/>
                <w:sz w:val="18"/>
                <w:szCs w:val="18"/>
              </w:rPr>
              <w:t>31.7</w:t>
            </w:r>
          </w:p>
        </w:tc>
        <w:tc>
          <w:tcPr>
            <w:tcW w:w="2306" w:type="dxa"/>
            <w:noWrap w:val="0"/>
            <w:vAlign w:val="center"/>
          </w:tcPr>
          <w:p w14:paraId="1FB107A5">
            <w:pPr>
              <w:spacing w:line="240" w:lineRule="auto"/>
              <w:jc w:val="center"/>
              <w:rPr>
                <w:rFonts w:hint="eastAsia" w:ascii="宋体" w:hAnsi="宋体" w:eastAsia="宋体" w:cs="宋体"/>
                <w:bCs/>
                <w:sz w:val="18"/>
                <w:szCs w:val="18"/>
              </w:rPr>
            </w:pPr>
            <w:r>
              <w:rPr>
                <w:rFonts w:hint="eastAsia" w:ascii="宋体" w:hAnsi="宋体" w:eastAsia="宋体" w:cs="宋体"/>
                <w:sz w:val="18"/>
                <w:szCs w:val="18"/>
              </w:rPr>
              <w:t>62.4</w:t>
            </w:r>
          </w:p>
        </w:tc>
      </w:tr>
      <w:tr w14:paraId="5152E1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exact"/>
          <w:jc w:val="center"/>
        </w:trPr>
        <w:tc>
          <w:tcPr>
            <w:tcW w:w="1828" w:type="dxa"/>
            <w:noWrap w:val="0"/>
            <w:vAlign w:val="center"/>
          </w:tcPr>
          <w:p w14:paraId="0F6F1C98">
            <w:pPr>
              <w:spacing w:line="240" w:lineRule="auto"/>
              <w:jc w:val="center"/>
              <w:rPr>
                <w:rFonts w:hint="eastAsia" w:ascii="宋体" w:hAnsi="宋体" w:eastAsia="宋体" w:cs="宋体"/>
                <w:bCs/>
                <w:sz w:val="18"/>
                <w:szCs w:val="18"/>
              </w:rPr>
            </w:pPr>
            <w:r>
              <w:rPr>
                <w:rFonts w:hint="eastAsia" w:ascii="宋体" w:hAnsi="宋体" w:eastAsia="宋体" w:cs="宋体"/>
                <w:bCs/>
                <w:sz w:val="18"/>
                <w:szCs w:val="18"/>
              </w:rPr>
              <w:t>6</w:t>
            </w:r>
          </w:p>
        </w:tc>
        <w:tc>
          <w:tcPr>
            <w:tcW w:w="1828" w:type="dxa"/>
            <w:noWrap w:val="0"/>
            <w:vAlign w:val="center"/>
          </w:tcPr>
          <w:p w14:paraId="020FE94A">
            <w:pPr>
              <w:spacing w:line="240" w:lineRule="auto"/>
              <w:jc w:val="center"/>
              <w:rPr>
                <w:rFonts w:hint="eastAsia" w:ascii="宋体" w:hAnsi="宋体" w:eastAsia="宋体" w:cs="宋体"/>
                <w:bCs/>
                <w:sz w:val="18"/>
                <w:szCs w:val="18"/>
              </w:rPr>
            </w:pPr>
            <w:r>
              <w:rPr>
                <w:rFonts w:hint="eastAsia" w:ascii="宋体" w:hAnsi="宋体" w:eastAsia="宋体" w:cs="宋体"/>
                <w:sz w:val="18"/>
                <w:szCs w:val="18"/>
              </w:rPr>
              <w:t>湖北</w:t>
            </w:r>
          </w:p>
        </w:tc>
        <w:tc>
          <w:tcPr>
            <w:tcW w:w="1828" w:type="dxa"/>
            <w:noWrap w:val="0"/>
            <w:vAlign w:val="center"/>
          </w:tcPr>
          <w:p w14:paraId="3F3C70F8">
            <w:pPr>
              <w:spacing w:line="240" w:lineRule="auto"/>
              <w:jc w:val="center"/>
              <w:rPr>
                <w:rFonts w:hint="eastAsia" w:ascii="宋体" w:hAnsi="宋体" w:eastAsia="宋体" w:cs="宋体"/>
                <w:bCs/>
                <w:sz w:val="18"/>
                <w:szCs w:val="18"/>
              </w:rPr>
            </w:pPr>
            <w:r>
              <w:rPr>
                <w:rFonts w:hint="eastAsia" w:ascii="宋体" w:hAnsi="宋体" w:eastAsia="宋体" w:cs="宋体"/>
                <w:sz w:val="18"/>
                <w:szCs w:val="18"/>
              </w:rPr>
              <w:t>2.2</w:t>
            </w:r>
          </w:p>
        </w:tc>
        <w:tc>
          <w:tcPr>
            <w:tcW w:w="2306" w:type="dxa"/>
            <w:noWrap w:val="0"/>
            <w:vAlign w:val="center"/>
          </w:tcPr>
          <w:p w14:paraId="3ADAD769">
            <w:pPr>
              <w:spacing w:line="240" w:lineRule="auto"/>
              <w:jc w:val="center"/>
              <w:rPr>
                <w:rFonts w:hint="eastAsia" w:ascii="宋体" w:hAnsi="宋体" w:eastAsia="宋体" w:cs="宋体"/>
                <w:bCs/>
                <w:sz w:val="18"/>
                <w:szCs w:val="18"/>
              </w:rPr>
            </w:pPr>
            <w:r>
              <w:rPr>
                <w:rFonts w:hint="eastAsia" w:ascii="宋体" w:hAnsi="宋体" w:eastAsia="宋体" w:cs="宋体"/>
                <w:sz w:val="18"/>
                <w:szCs w:val="18"/>
              </w:rPr>
              <w:t>87.2</w:t>
            </w:r>
          </w:p>
        </w:tc>
      </w:tr>
      <w:tr w14:paraId="5B7831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exact"/>
          <w:jc w:val="center"/>
        </w:trPr>
        <w:tc>
          <w:tcPr>
            <w:tcW w:w="1828" w:type="dxa"/>
            <w:noWrap w:val="0"/>
            <w:vAlign w:val="center"/>
          </w:tcPr>
          <w:p w14:paraId="6E963F43">
            <w:pPr>
              <w:spacing w:line="240" w:lineRule="auto"/>
              <w:jc w:val="center"/>
              <w:rPr>
                <w:rFonts w:hint="eastAsia" w:ascii="宋体" w:hAnsi="宋体" w:eastAsia="宋体" w:cs="宋体"/>
                <w:bCs/>
                <w:sz w:val="18"/>
                <w:szCs w:val="18"/>
              </w:rPr>
            </w:pPr>
            <w:r>
              <w:rPr>
                <w:rFonts w:hint="eastAsia" w:ascii="宋体" w:hAnsi="宋体" w:eastAsia="宋体" w:cs="宋体"/>
                <w:bCs/>
                <w:sz w:val="18"/>
                <w:szCs w:val="18"/>
              </w:rPr>
              <w:t>7</w:t>
            </w:r>
          </w:p>
        </w:tc>
        <w:tc>
          <w:tcPr>
            <w:tcW w:w="1828" w:type="dxa"/>
            <w:noWrap w:val="0"/>
            <w:vAlign w:val="center"/>
          </w:tcPr>
          <w:p w14:paraId="5D9FC52F">
            <w:pPr>
              <w:spacing w:line="240" w:lineRule="auto"/>
              <w:jc w:val="center"/>
              <w:rPr>
                <w:rFonts w:hint="eastAsia" w:ascii="宋体" w:hAnsi="宋体" w:eastAsia="宋体" w:cs="宋体"/>
                <w:sz w:val="18"/>
                <w:szCs w:val="18"/>
              </w:rPr>
            </w:pPr>
            <w:r>
              <w:rPr>
                <w:rFonts w:hint="eastAsia" w:ascii="宋体" w:hAnsi="宋体" w:eastAsia="宋体" w:cs="宋体"/>
                <w:sz w:val="18"/>
                <w:szCs w:val="18"/>
              </w:rPr>
              <w:t>福建</w:t>
            </w:r>
          </w:p>
        </w:tc>
        <w:tc>
          <w:tcPr>
            <w:tcW w:w="1828" w:type="dxa"/>
            <w:noWrap w:val="0"/>
            <w:vAlign w:val="center"/>
          </w:tcPr>
          <w:p w14:paraId="60A87E7C">
            <w:pPr>
              <w:spacing w:line="240" w:lineRule="auto"/>
              <w:jc w:val="center"/>
              <w:rPr>
                <w:rFonts w:hint="eastAsia" w:ascii="宋体" w:hAnsi="宋体" w:eastAsia="宋体" w:cs="宋体"/>
                <w:sz w:val="18"/>
                <w:szCs w:val="18"/>
              </w:rPr>
            </w:pPr>
            <w:r>
              <w:rPr>
                <w:rFonts w:hint="eastAsia" w:ascii="宋体" w:hAnsi="宋体" w:eastAsia="宋体" w:cs="宋体"/>
                <w:sz w:val="18"/>
                <w:szCs w:val="18"/>
              </w:rPr>
              <w:t>1.9</w:t>
            </w:r>
          </w:p>
        </w:tc>
        <w:tc>
          <w:tcPr>
            <w:tcW w:w="2306" w:type="dxa"/>
            <w:noWrap w:val="0"/>
            <w:vAlign w:val="center"/>
          </w:tcPr>
          <w:p w14:paraId="68E3C516">
            <w:pPr>
              <w:spacing w:line="240" w:lineRule="auto"/>
              <w:jc w:val="center"/>
              <w:rPr>
                <w:rFonts w:hint="eastAsia" w:ascii="宋体" w:hAnsi="宋体" w:eastAsia="宋体" w:cs="宋体"/>
                <w:sz w:val="18"/>
                <w:szCs w:val="18"/>
              </w:rPr>
            </w:pPr>
            <w:r>
              <w:rPr>
                <w:rFonts w:hint="eastAsia" w:ascii="宋体" w:hAnsi="宋体" w:eastAsia="宋体" w:cs="宋体"/>
                <w:sz w:val="18"/>
                <w:szCs w:val="18"/>
              </w:rPr>
              <w:t>55.0</w:t>
            </w:r>
          </w:p>
        </w:tc>
      </w:tr>
      <w:tr w14:paraId="487FD0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exact"/>
          <w:jc w:val="center"/>
        </w:trPr>
        <w:tc>
          <w:tcPr>
            <w:tcW w:w="1828" w:type="dxa"/>
            <w:noWrap w:val="0"/>
            <w:vAlign w:val="center"/>
          </w:tcPr>
          <w:p w14:paraId="6B0F887E">
            <w:pPr>
              <w:spacing w:line="240" w:lineRule="auto"/>
              <w:jc w:val="center"/>
              <w:rPr>
                <w:rFonts w:hint="eastAsia" w:ascii="宋体" w:hAnsi="宋体" w:eastAsia="宋体" w:cs="宋体"/>
                <w:bCs/>
                <w:sz w:val="18"/>
                <w:szCs w:val="18"/>
              </w:rPr>
            </w:pPr>
            <w:r>
              <w:rPr>
                <w:rFonts w:hint="eastAsia" w:ascii="宋体" w:hAnsi="宋体" w:eastAsia="宋体" w:cs="宋体"/>
                <w:bCs/>
                <w:sz w:val="18"/>
                <w:szCs w:val="18"/>
              </w:rPr>
              <w:t>8</w:t>
            </w:r>
          </w:p>
        </w:tc>
        <w:tc>
          <w:tcPr>
            <w:tcW w:w="1828" w:type="dxa"/>
            <w:noWrap w:val="0"/>
            <w:vAlign w:val="center"/>
          </w:tcPr>
          <w:p w14:paraId="012C18E0">
            <w:pPr>
              <w:spacing w:line="240" w:lineRule="auto"/>
              <w:jc w:val="center"/>
              <w:rPr>
                <w:rFonts w:hint="eastAsia" w:ascii="宋体" w:hAnsi="宋体" w:eastAsia="宋体" w:cs="宋体"/>
                <w:bCs/>
                <w:sz w:val="18"/>
                <w:szCs w:val="18"/>
              </w:rPr>
            </w:pPr>
            <w:r>
              <w:rPr>
                <w:rFonts w:hint="eastAsia" w:ascii="宋体" w:hAnsi="宋体" w:eastAsia="宋体" w:cs="宋体"/>
                <w:bCs/>
                <w:sz w:val="18"/>
                <w:szCs w:val="18"/>
              </w:rPr>
              <w:t>其他</w:t>
            </w:r>
          </w:p>
        </w:tc>
        <w:tc>
          <w:tcPr>
            <w:tcW w:w="1828" w:type="dxa"/>
            <w:noWrap w:val="0"/>
            <w:vAlign w:val="center"/>
          </w:tcPr>
          <w:p w14:paraId="066129D5">
            <w:pPr>
              <w:spacing w:line="240" w:lineRule="auto"/>
              <w:jc w:val="center"/>
              <w:rPr>
                <w:rFonts w:hint="eastAsia" w:ascii="宋体" w:hAnsi="宋体" w:eastAsia="宋体" w:cs="宋体"/>
                <w:bCs/>
                <w:sz w:val="18"/>
                <w:szCs w:val="18"/>
              </w:rPr>
            </w:pPr>
            <w:r>
              <w:rPr>
                <w:rFonts w:hint="eastAsia" w:ascii="宋体" w:hAnsi="宋体" w:eastAsia="宋体" w:cs="宋体"/>
                <w:bCs/>
                <w:sz w:val="18"/>
                <w:szCs w:val="18"/>
              </w:rPr>
              <w:t>0.9</w:t>
            </w:r>
          </w:p>
        </w:tc>
        <w:tc>
          <w:tcPr>
            <w:tcW w:w="2306" w:type="dxa"/>
            <w:noWrap w:val="0"/>
            <w:vAlign w:val="center"/>
          </w:tcPr>
          <w:p w14:paraId="30334E3B">
            <w:pPr>
              <w:spacing w:line="240" w:lineRule="auto"/>
              <w:jc w:val="center"/>
              <w:rPr>
                <w:rFonts w:hint="eastAsia" w:ascii="宋体" w:hAnsi="宋体" w:eastAsia="宋体" w:cs="宋体"/>
                <w:bCs/>
                <w:sz w:val="18"/>
                <w:szCs w:val="18"/>
              </w:rPr>
            </w:pPr>
            <w:r>
              <w:rPr>
                <w:rFonts w:hint="eastAsia" w:ascii="宋体" w:hAnsi="宋体" w:eastAsia="宋体" w:cs="宋体"/>
                <w:bCs/>
                <w:sz w:val="18"/>
                <w:szCs w:val="18"/>
              </w:rPr>
              <w:t>236.9</w:t>
            </w:r>
          </w:p>
        </w:tc>
      </w:tr>
    </w:tbl>
    <w:p w14:paraId="620E6623">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24" w:name="_Toc230102053"/>
      <w:r>
        <w:rPr>
          <w:rFonts w:hint="eastAsia" w:ascii="宋体" w:hAnsi="宋体" w:eastAsia="宋体" w:cs="宋体"/>
          <w:b/>
          <w:bCs/>
          <w:sz w:val="21"/>
          <w:szCs w:val="21"/>
          <w:lang w:val="en-US" w:eastAsia="zh-CN"/>
        </w:rPr>
        <w:t>2.进口情况</w:t>
      </w:r>
      <w:bookmarkEnd w:id="24"/>
    </w:p>
    <w:p w14:paraId="4CDB632D">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25" w:name="_Toc230102054"/>
      <w:r>
        <w:rPr>
          <w:rFonts w:hint="eastAsia" w:ascii="宋体" w:hAnsi="宋体" w:eastAsia="宋体" w:cs="宋体"/>
          <w:b/>
          <w:bCs/>
          <w:sz w:val="21"/>
          <w:szCs w:val="21"/>
          <w:lang w:val="en-US" w:eastAsia="zh-CN"/>
        </w:rPr>
        <w:t>（1）进口量及进口价格</w:t>
      </w:r>
      <w:bookmarkEnd w:id="25"/>
    </w:p>
    <w:p w14:paraId="0968E73A">
      <w:pPr>
        <w:jc w:val="center"/>
        <w:rPr>
          <w:rFonts w:hint="eastAsia" w:ascii="黑体" w:eastAsia="黑体"/>
          <w:b/>
        </w:rPr>
      </w:pPr>
      <w:r>
        <w:drawing>
          <wp:inline distT="0" distB="0" distL="114300" distR="114300">
            <wp:extent cx="4142105" cy="2047875"/>
            <wp:effectExtent l="0" t="0" r="10795" b="9525"/>
            <wp:docPr id="25"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1"/>
                    <pic:cNvPicPr>
                      <a:picLocks noChangeAspect="1"/>
                    </pic:cNvPicPr>
                  </pic:nvPicPr>
                  <pic:blipFill>
                    <a:blip r:embed="rId14"/>
                    <a:srcRect t="7813"/>
                    <a:stretch>
                      <a:fillRect/>
                    </a:stretch>
                  </pic:blipFill>
                  <pic:spPr>
                    <a:xfrm>
                      <a:off x="0" y="0"/>
                      <a:ext cx="4142105" cy="2047875"/>
                    </a:xfrm>
                    <a:prstGeom prst="rect">
                      <a:avLst/>
                    </a:prstGeom>
                    <a:noFill/>
                    <a:ln>
                      <a:noFill/>
                    </a:ln>
                  </pic:spPr>
                </pic:pic>
              </a:graphicData>
            </a:graphic>
          </wp:inline>
        </w:drawing>
      </w:r>
    </w:p>
    <w:p w14:paraId="4A2319EE">
      <w:pPr>
        <w:pageBreakBefore w:val="0"/>
        <w:kinsoku/>
        <w:wordWrap/>
        <w:overflowPunct/>
        <w:topLinePunct w:val="0"/>
        <w:autoSpaceDE/>
        <w:autoSpaceDN/>
        <w:bidi w:val="0"/>
        <w:spacing w:line="400" w:lineRule="exact"/>
        <w:jc w:val="center"/>
        <w:textAlignment w:val="auto"/>
        <w:rPr>
          <w:rFonts w:hint="eastAsia" w:ascii="宋体" w:hAnsi="宋体" w:eastAsia="宋体" w:cs="宋体"/>
          <w:b/>
          <w:sz w:val="21"/>
          <w:szCs w:val="21"/>
        </w:rPr>
      </w:pPr>
      <w:bookmarkStart w:id="26" w:name="_Hlk72421496"/>
      <w:r>
        <w:rPr>
          <w:rFonts w:hint="eastAsia" w:ascii="宋体" w:hAnsi="宋体" w:eastAsia="宋体" w:cs="宋体"/>
          <w:b/>
          <w:sz w:val="21"/>
          <w:szCs w:val="21"/>
        </w:rPr>
        <w:t>图</w:t>
      </w:r>
      <w:r>
        <w:rPr>
          <w:rFonts w:hint="eastAsia" w:ascii="宋体" w:hAnsi="宋体" w:eastAsia="宋体" w:cs="宋体"/>
          <w:b/>
          <w:sz w:val="21"/>
          <w:szCs w:val="21"/>
          <w:lang w:val="en-US" w:eastAsia="zh-CN"/>
        </w:rPr>
        <w:t>11</w:t>
      </w:r>
      <w:r>
        <w:rPr>
          <w:rFonts w:hint="eastAsia" w:ascii="宋体" w:hAnsi="宋体" w:eastAsia="宋体" w:cs="宋体"/>
          <w:b/>
          <w:sz w:val="21"/>
          <w:szCs w:val="21"/>
        </w:rPr>
        <w:t xml:space="preserve"> 2020-2025年我国硫酸进口量及进口价格走势</w:t>
      </w:r>
    </w:p>
    <w:bookmarkEnd w:id="26"/>
    <w:p w14:paraId="5ACBD01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据海关统计，2025年我国硫酸进口量12.6万吨，同比下降22.1%；剔除高价酸后，平均进口价格70.2美元/吨，同比上升74.4%。</w:t>
      </w:r>
    </w:p>
    <w:p w14:paraId="396C5A4B">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27" w:name="_Toc230102055"/>
      <w:r>
        <w:rPr>
          <w:rFonts w:hint="eastAsia" w:ascii="宋体" w:hAnsi="宋体" w:eastAsia="宋体" w:cs="宋体"/>
          <w:b/>
          <w:bCs/>
          <w:sz w:val="21"/>
          <w:szCs w:val="21"/>
          <w:lang w:val="en-US" w:eastAsia="zh-CN"/>
        </w:rPr>
        <w:t>（2）进口硫酸来源</w:t>
      </w:r>
      <w:bookmarkEnd w:id="27"/>
    </w:p>
    <w:p w14:paraId="103FF9F6">
      <w:pPr>
        <w:jc w:val="center"/>
        <w:rPr>
          <w:rFonts w:hint="eastAsia" w:ascii="黑体" w:eastAsia="黑体"/>
          <w:b/>
        </w:rPr>
      </w:pPr>
      <w:r>
        <w:drawing>
          <wp:inline distT="0" distB="0" distL="114300" distR="114300">
            <wp:extent cx="4831080" cy="2304415"/>
            <wp:effectExtent l="0" t="0" r="7620" b="635"/>
            <wp:docPr id="9"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2"/>
                    <pic:cNvPicPr>
                      <a:picLocks noChangeAspect="1"/>
                    </pic:cNvPicPr>
                  </pic:nvPicPr>
                  <pic:blipFill>
                    <a:blip r:embed="rId15"/>
                    <a:srcRect t="14104" b="2448"/>
                    <a:stretch>
                      <a:fillRect/>
                    </a:stretch>
                  </pic:blipFill>
                  <pic:spPr>
                    <a:xfrm>
                      <a:off x="0" y="0"/>
                      <a:ext cx="4831080" cy="2304415"/>
                    </a:xfrm>
                    <a:prstGeom prst="rect">
                      <a:avLst/>
                    </a:prstGeom>
                    <a:noFill/>
                    <a:ln>
                      <a:noFill/>
                    </a:ln>
                  </pic:spPr>
                </pic:pic>
              </a:graphicData>
            </a:graphic>
          </wp:inline>
        </w:drawing>
      </w:r>
    </w:p>
    <w:p w14:paraId="654353E6">
      <w:pPr>
        <w:pageBreakBefore w:val="0"/>
        <w:kinsoku/>
        <w:wordWrap/>
        <w:overflowPunct/>
        <w:topLinePunct w:val="0"/>
        <w:autoSpaceDE/>
        <w:autoSpaceDN/>
        <w:bidi w:val="0"/>
        <w:spacing w:line="400" w:lineRule="exact"/>
        <w:jc w:val="center"/>
        <w:textAlignment w:val="auto"/>
        <w:rPr>
          <w:rFonts w:hint="eastAsia" w:ascii="宋体" w:hAnsi="宋体" w:eastAsia="宋体" w:cs="宋体"/>
          <w:b/>
          <w:sz w:val="21"/>
          <w:szCs w:val="21"/>
        </w:rPr>
      </w:pPr>
      <w:bookmarkStart w:id="28" w:name="_Hlk72421565"/>
      <w:r>
        <w:rPr>
          <w:rFonts w:hint="eastAsia" w:ascii="宋体" w:hAnsi="宋体" w:eastAsia="宋体" w:cs="宋体"/>
          <w:b/>
          <w:sz w:val="21"/>
          <w:szCs w:val="21"/>
        </w:rPr>
        <w:t>图</w:t>
      </w:r>
      <w:r>
        <w:rPr>
          <w:rFonts w:hint="eastAsia" w:ascii="宋体" w:hAnsi="宋体" w:eastAsia="宋体" w:cs="宋体"/>
          <w:b/>
          <w:sz w:val="21"/>
          <w:szCs w:val="21"/>
          <w:lang w:val="en-US" w:eastAsia="zh-CN"/>
        </w:rPr>
        <w:t>12</w:t>
      </w:r>
      <w:r>
        <w:rPr>
          <w:rFonts w:hint="eastAsia" w:ascii="宋体" w:hAnsi="宋体" w:eastAsia="宋体" w:cs="宋体"/>
          <w:b/>
          <w:sz w:val="21"/>
          <w:szCs w:val="21"/>
        </w:rPr>
        <w:t xml:space="preserve"> 2025年我国进口硫酸来源</w:t>
      </w:r>
    </w:p>
    <w:bookmarkEnd w:id="28"/>
    <w:p w14:paraId="096A8679">
      <w:pPr>
        <w:pageBreakBefore w:val="0"/>
        <w:kinsoku/>
        <w:wordWrap/>
        <w:overflowPunct/>
        <w:topLinePunct w:val="0"/>
        <w:autoSpaceDE/>
        <w:autoSpaceDN/>
        <w:bidi w:val="0"/>
        <w:spacing w:line="400" w:lineRule="exact"/>
        <w:ind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从进口硫酸来源来看，我国进口硫酸主要来自韩国。</w:t>
      </w:r>
    </w:p>
    <w:p w14:paraId="6ED0A87E">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29" w:name="_Toc230102056"/>
      <w:r>
        <w:rPr>
          <w:rFonts w:hint="eastAsia" w:ascii="宋体" w:hAnsi="宋体" w:eastAsia="宋体" w:cs="宋体"/>
          <w:b/>
          <w:bCs/>
          <w:sz w:val="21"/>
          <w:szCs w:val="21"/>
          <w:lang w:val="en-US" w:eastAsia="zh-CN"/>
        </w:rPr>
        <w:t>（3）进口硫酸去向</w:t>
      </w:r>
      <w:bookmarkEnd w:id="29"/>
    </w:p>
    <w:p w14:paraId="31C0B265">
      <w:pPr>
        <w:jc w:val="center"/>
        <w:rPr>
          <w:rFonts w:hint="eastAsia" w:ascii="黑体" w:eastAsia="黑体"/>
          <w:b/>
        </w:rPr>
      </w:pPr>
      <w:r>
        <w:drawing>
          <wp:inline distT="0" distB="0" distL="114300" distR="114300">
            <wp:extent cx="5273675" cy="2095500"/>
            <wp:effectExtent l="0" t="0" r="3175" b="0"/>
            <wp:docPr id="10"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3"/>
                    <pic:cNvPicPr>
                      <a:picLocks noChangeAspect="1"/>
                    </pic:cNvPicPr>
                  </pic:nvPicPr>
                  <pic:blipFill>
                    <a:blip r:embed="rId16"/>
                    <a:srcRect t="18881" b="8838"/>
                    <a:stretch>
                      <a:fillRect/>
                    </a:stretch>
                  </pic:blipFill>
                  <pic:spPr>
                    <a:xfrm>
                      <a:off x="0" y="0"/>
                      <a:ext cx="5273675" cy="2095500"/>
                    </a:xfrm>
                    <a:prstGeom prst="rect">
                      <a:avLst/>
                    </a:prstGeom>
                    <a:noFill/>
                    <a:ln>
                      <a:noFill/>
                    </a:ln>
                  </pic:spPr>
                </pic:pic>
              </a:graphicData>
            </a:graphic>
          </wp:inline>
        </w:drawing>
      </w:r>
    </w:p>
    <w:p w14:paraId="207B4E40">
      <w:pPr>
        <w:pageBreakBefore w:val="0"/>
        <w:kinsoku/>
        <w:wordWrap/>
        <w:overflowPunct/>
        <w:topLinePunct w:val="0"/>
        <w:autoSpaceDE/>
        <w:autoSpaceDN/>
        <w:bidi w:val="0"/>
        <w:spacing w:line="400" w:lineRule="exact"/>
        <w:jc w:val="center"/>
        <w:textAlignment w:val="auto"/>
        <w:rPr>
          <w:rFonts w:hint="eastAsia" w:ascii="宋体" w:hAnsi="宋体" w:eastAsia="宋体" w:cs="宋体"/>
          <w:b/>
          <w:sz w:val="21"/>
          <w:szCs w:val="21"/>
        </w:rPr>
      </w:pPr>
      <w:bookmarkStart w:id="30" w:name="_Hlk72421588"/>
      <w:r>
        <w:rPr>
          <w:rFonts w:hint="eastAsia" w:ascii="宋体" w:hAnsi="宋体" w:eastAsia="宋体" w:cs="宋体"/>
          <w:b/>
          <w:sz w:val="21"/>
          <w:szCs w:val="21"/>
        </w:rPr>
        <w:t>图</w:t>
      </w:r>
      <w:r>
        <w:rPr>
          <w:rFonts w:hint="eastAsia" w:ascii="宋体" w:hAnsi="宋体" w:eastAsia="宋体" w:cs="宋体"/>
          <w:b/>
          <w:sz w:val="21"/>
          <w:szCs w:val="21"/>
          <w:lang w:val="en-US" w:eastAsia="zh-CN"/>
        </w:rPr>
        <w:t>13</w:t>
      </w:r>
      <w:r>
        <w:rPr>
          <w:rFonts w:hint="eastAsia" w:ascii="宋体" w:hAnsi="宋体" w:eastAsia="宋体" w:cs="宋体"/>
          <w:b/>
          <w:sz w:val="21"/>
          <w:szCs w:val="21"/>
        </w:rPr>
        <w:t xml:space="preserve"> 2025年我国进口硫酸去向（按企业注册地分）</w:t>
      </w:r>
    </w:p>
    <w:bookmarkEnd w:id="30"/>
    <w:p w14:paraId="751870B0">
      <w:pPr>
        <w:pageBreakBefore w:val="0"/>
        <w:kinsoku/>
        <w:wordWrap/>
        <w:overflowPunct/>
        <w:topLinePunct w:val="0"/>
        <w:autoSpaceDE/>
        <w:autoSpaceDN/>
        <w:bidi w:val="0"/>
        <w:spacing w:line="400" w:lineRule="exact"/>
        <w:ind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据海关统计，2025年，我国进口硫酸主要流向了江苏和山东。</w:t>
      </w:r>
    </w:p>
    <w:p w14:paraId="0410B022">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31" w:name="_Toc230102057"/>
      <w:r>
        <w:rPr>
          <w:rFonts w:hint="eastAsia" w:ascii="宋体" w:hAnsi="宋体" w:eastAsia="宋体" w:cs="宋体"/>
          <w:b/>
          <w:bCs/>
          <w:sz w:val="21"/>
          <w:szCs w:val="21"/>
          <w:lang w:val="en-US" w:eastAsia="zh-CN"/>
        </w:rPr>
        <w:t>四、硫酸消费情况</w:t>
      </w:r>
      <w:bookmarkEnd w:id="31"/>
    </w:p>
    <w:p w14:paraId="2FCBAB94">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32" w:name="_Toc230102058"/>
      <w:r>
        <w:rPr>
          <w:rFonts w:hint="eastAsia" w:ascii="宋体" w:hAnsi="宋体" w:eastAsia="宋体" w:cs="宋体"/>
          <w:b/>
          <w:bCs/>
          <w:sz w:val="21"/>
          <w:szCs w:val="21"/>
          <w:lang w:val="en-US" w:eastAsia="zh-CN"/>
        </w:rPr>
        <w:t>1.消费量</w:t>
      </w:r>
      <w:bookmarkEnd w:id="32"/>
    </w:p>
    <w:p w14:paraId="5450047F">
      <w:pPr>
        <w:jc w:val="center"/>
        <w:rPr>
          <w:rFonts w:hint="eastAsia" w:ascii="黑体" w:eastAsia="黑体"/>
          <w:b/>
        </w:rPr>
      </w:pPr>
      <w:r>
        <w:drawing>
          <wp:inline distT="0" distB="0" distL="114300" distR="114300">
            <wp:extent cx="4000500" cy="2343150"/>
            <wp:effectExtent l="0" t="0" r="0" b="0"/>
            <wp:docPr id="1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4"/>
                    <pic:cNvPicPr>
                      <a:picLocks noChangeAspect="1"/>
                    </pic:cNvPicPr>
                  </pic:nvPicPr>
                  <pic:blipFill>
                    <a:blip r:embed="rId17"/>
                    <a:srcRect t="6845" b="1430"/>
                    <a:stretch>
                      <a:fillRect/>
                    </a:stretch>
                  </pic:blipFill>
                  <pic:spPr>
                    <a:xfrm>
                      <a:off x="0" y="0"/>
                      <a:ext cx="4000500" cy="2343150"/>
                    </a:xfrm>
                    <a:prstGeom prst="rect">
                      <a:avLst/>
                    </a:prstGeom>
                    <a:noFill/>
                    <a:ln>
                      <a:noFill/>
                    </a:ln>
                  </pic:spPr>
                </pic:pic>
              </a:graphicData>
            </a:graphic>
          </wp:inline>
        </w:drawing>
      </w:r>
    </w:p>
    <w:p w14:paraId="26FE181F">
      <w:pPr>
        <w:pageBreakBefore w:val="0"/>
        <w:kinsoku/>
        <w:wordWrap/>
        <w:overflowPunct/>
        <w:topLinePunct w:val="0"/>
        <w:autoSpaceDE/>
        <w:autoSpaceDN/>
        <w:bidi w:val="0"/>
        <w:spacing w:line="400" w:lineRule="exact"/>
        <w:jc w:val="center"/>
        <w:textAlignment w:val="auto"/>
        <w:rPr>
          <w:rFonts w:hint="eastAsia" w:ascii="宋体" w:hAnsi="宋体" w:eastAsia="宋体" w:cs="宋体"/>
          <w:b/>
          <w:sz w:val="21"/>
          <w:szCs w:val="21"/>
        </w:rPr>
      </w:pPr>
      <w:bookmarkStart w:id="33" w:name="_Hlk72421693"/>
      <w:r>
        <w:rPr>
          <w:rFonts w:hint="eastAsia" w:ascii="宋体" w:hAnsi="宋体" w:eastAsia="宋体" w:cs="宋体"/>
          <w:b/>
          <w:sz w:val="21"/>
          <w:szCs w:val="21"/>
        </w:rPr>
        <w:t>图</w:t>
      </w:r>
      <w:r>
        <w:rPr>
          <w:rFonts w:hint="eastAsia" w:ascii="宋体" w:hAnsi="宋体" w:eastAsia="宋体" w:cs="宋体"/>
          <w:b/>
          <w:sz w:val="21"/>
          <w:szCs w:val="21"/>
          <w:lang w:val="en-US" w:eastAsia="zh-CN"/>
        </w:rPr>
        <w:t>14</w:t>
      </w:r>
      <w:r>
        <w:rPr>
          <w:rFonts w:hint="eastAsia" w:ascii="宋体" w:hAnsi="宋体" w:eastAsia="宋体" w:cs="宋体"/>
          <w:b/>
          <w:sz w:val="21"/>
          <w:szCs w:val="21"/>
        </w:rPr>
        <w:t xml:space="preserve"> 2020-2025年我国硫酸表观消费量走势</w:t>
      </w:r>
    </w:p>
    <w:bookmarkEnd w:id="33"/>
    <w:p w14:paraId="66C2D245">
      <w:pPr>
        <w:pageBreakBefore w:val="0"/>
        <w:kinsoku/>
        <w:wordWrap/>
        <w:overflowPunct/>
        <w:topLinePunct w:val="0"/>
        <w:autoSpaceDE/>
        <w:autoSpaceDN/>
        <w:bidi w:val="0"/>
        <w:spacing w:line="400" w:lineRule="exact"/>
        <w:ind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据协会统计，2025年我国硫酸表观消费量1.233亿吨，同比增长3.7%。其中，化肥用酸总计4778.1万吨，同比增长1.5%，占比38.7%，同比下降0.8个百分点；工业用酸总计7554.5万吨，同比增长5.1%，占比61.3%，同比上升0.8个百分点。</w:t>
      </w:r>
    </w:p>
    <w:p w14:paraId="7B3C8F27">
      <w:pPr>
        <w:pageBreakBefore w:val="0"/>
        <w:kinsoku/>
        <w:wordWrap/>
        <w:overflowPunct/>
        <w:topLinePunct w:val="0"/>
        <w:autoSpaceDE/>
        <w:autoSpaceDN/>
        <w:bidi w:val="0"/>
        <w:spacing w:line="400" w:lineRule="exact"/>
        <w:ind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（注：本年度年报将工业级磷酸一铵的耗酸量从化肥耗酸调整到工业耗酸中，同时对往年硫酸铵、S-NPK的耗酸量进行了修正。）</w:t>
      </w:r>
    </w:p>
    <w:p w14:paraId="4FF9C802">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34" w:name="_Toc12408"/>
      <w:bookmarkStart w:id="35" w:name="_Toc230102059"/>
      <w:r>
        <w:rPr>
          <w:rFonts w:hint="eastAsia" w:ascii="宋体" w:hAnsi="宋体" w:eastAsia="宋体" w:cs="宋体"/>
          <w:b/>
          <w:bCs/>
          <w:sz w:val="21"/>
          <w:szCs w:val="21"/>
          <w:lang w:val="en-US" w:eastAsia="zh-CN"/>
        </w:rPr>
        <w:t>2.消费结构</w:t>
      </w:r>
      <w:bookmarkEnd w:id="34"/>
      <w:bookmarkEnd w:id="35"/>
    </w:p>
    <w:p w14:paraId="3BF1DAA4">
      <w:pPr>
        <w:jc w:val="center"/>
        <w:rPr>
          <w:rFonts w:hint="eastAsia"/>
        </w:rPr>
      </w:pPr>
      <w:r>
        <w:drawing>
          <wp:inline distT="0" distB="0" distL="114300" distR="114300">
            <wp:extent cx="5273040" cy="2997200"/>
            <wp:effectExtent l="0" t="0" r="3810" b="12700"/>
            <wp:docPr id="19"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5"/>
                    <pic:cNvPicPr>
                      <a:picLocks noChangeAspect="1"/>
                    </pic:cNvPicPr>
                  </pic:nvPicPr>
                  <pic:blipFill>
                    <a:blip r:embed="rId18"/>
                    <a:stretch>
                      <a:fillRect/>
                    </a:stretch>
                  </pic:blipFill>
                  <pic:spPr>
                    <a:xfrm>
                      <a:off x="0" y="0"/>
                      <a:ext cx="5273040" cy="2997200"/>
                    </a:xfrm>
                    <a:prstGeom prst="rect">
                      <a:avLst/>
                    </a:prstGeom>
                    <a:noFill/>
                    <a:ln>
                      <a:noFill/>
                    </a:ln>
                  </pic:spPr>
                </pic:pic>
              </a:graphicData>
            </a:graphic>
          </wp:inline>
        </w:drawing>
      </w:r>
    </w:p>
    <w:p w14:paraId="2FD1C731">
      <w:pPr>
        <w:pageBreakBefore w:val="0"/>
        <w:kinsoku/>
        <w:wordWrap/>
        <w:overflowPunct/>
        <w:topLinePunct w:val="0"/>
        <w:autoSpaceDE/>
        <w:autoSpaceDN/>
        <w:bidi w:val="0"/>
        <w:spacing w:line="400" w:lineRule="exact"/>
        <w:jc w:val="center"/>
        <w:textAlignment w:val="auto"/>
        <w:rPr>
          <w:rFonts w:hint="eastAsia" w:ascii="宋体" w:hAnsi="宋体" w:eastAsia="宋体" w:cs="宋体"/>
          <w:b/>
          <w:sz w:val="21"/>
          <w:szCs w:val="21"/>
        </w:rPr>
      </w:pPr>
      <w:r>
        <w:rPr>
          <w:rFonts w:hint="eastAsia" w:ascii="宋体" w:hAnsi="宋体" w:eastAsia="宋体" w:cs="宋体"/>
          <w:b/>
          <w:sz w:val="21"/>
          <w:szCs w:val="21"/>
        </w:rPr>
        <w:t>图</w:t>
      </w:r>
      <w:r>
        <w:rPr>
          <w:rFonts w:hint="eastAsia" w:ascii="宋体" w:hAnsi="宋体" w:eastAsia="宋体" w:cs="宋体"/>
          <w:b/>
          <w:sz w:val="21"/>
          <w:szCs w:val="21"/>
          <w:lang w:val="en-US" w:eastAsia="zh-CN"/>
        </w:rPr>
        <w:t>15</w:t>
      </w:r>
      <w:r>
        <w:rPr>
          <w:rFonts w:hint="eastAsia" w:ascii="宋体" w:hAnsi="宋体" w:eastAsia="宋体" w:cs="宋体"/>
          <w:b/>
          <w:sz w:val="21"/>
          <w:szCs w:val="21"/>
        </w:rPr>
        <w:t xml:space="preserve"> 2025年我国硫酸消费结构</w:t>
      </w:r>
    </w:p>
    <w:p w14:paraId="69AC83E7">
      <w:pPr>
        <w:pageBreakBefore w:val="0"/>
        <w:kinsoku/>
        <w:wordWrap/>
        <w:overflowPunct/>
        <w:topLinePunct w:val="0"/>
        <w:autoSpaceDE/>
        <w:autoSpaceDN/>
        <w:bidi w:val="0"/>
        <w:spacing w:line="400" w:lineRule="exact"/>
        <w:ind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据协会统计，我国硫酸下游产品主要以磷复肥为主，2025年农用磷复肥耗酸量总计4616.9万吨，同比增长1.7%，占全国硫酸消费量的37.4%，同比下降0.7个百分点；此外，钛白粉、己内酰胺、磷酸钙盐、氢氟酸等也是硫酸下游主要产品。</w:t>
      </w:r>
    </w:p>
    <w:p w14:paraId="24D45575">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36" w:name="_Toc230102060"/>
      <w:r>
        <w:rPr>
          <w:rFonts w:hint="eastAsia" w:ascii="宋体" w:hAnsi="宋体" w:eastAsia="宋体" w:cs="宋体"/>
          <w:b/>
          <w:bCs/>
          <w:sz w:val="21"/>
          <w:szCs w:val="21"/>
          <w:lang w:val="en-US" w:eastAsia="zh-CN"/>
        </w:rPr>
        <w:t>五、硫酸价格</w:t>
      </w:r>
      <w:bookmarkEnd w:id="36"/>
    </w:p>
    <w:p w14:paraId="2F1707D4">
      <w:pPr>
        <w:jc w:val="center"/>
        <w:rPr>
          <w:rFonts w:hint="eastAsia" w:ascii="黑体" w:eastAsia="黑体"/>
          <w:b/>
        </w:rPr>
      </w:pPr>
      <w:r>
        <w:drawing>
          <wp:inline distT="0" distB="0" distL="114300" distR="114300">
            <wp:extent cx="3926840" cy="2046605"/>
            <wp:effectExtent l="0" t="0" r="16510" b="10795"/>
            <wp:docPr id="14"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6"/>
                    <pic:cNvPicPr>
                      <a:picLocks noChangeAspect="1"/>
                    </pic:cNvPicPr>
                  </pic:nvPicPr>
                  <pic:blipFill>
                    <a:blip r:embed="rId19"/>
                    <a:srcRect t="10339"/>
                    <a:stretch>
                      <a:fillRect/>
                    </a:stretch>
                  </pic:blipFill>
                  <pic:spPr>
                    <a:xfrm>
                      <a:off x="0" y="0"/>
                      <a:ext cx="3926840" cy="2046605"/>
                    </a:xfrm>
                    <a:prstGeom prst="rect">
                      <a:avLst/>
                    </a:prstGeom>
                    <a:noFill/>
                    <a:ln>
                      <a:noFill/>
                    </a:ln>
                  </pic:spPr>
                </pic:pic>
              </a:graphicData>
            </a:graphic>
          </wp:inline>
        </w:drawing>
      </w:r>
    </w:p>
    <w:p w14:paraId="729681F1">
      <w:pPr>
        <w:pageBreakBefore w:val="0"/>
        <w:kinsoku/>
        <w:wordWrap/>
        <w:overflowPunct/>
        <w:topLinePunct w:val="0"/>
        <w:autoSpaceDE/>
        <w:autoSpaceDN/>
        <w:bidi w:val="0"/>
        <w:spacing w:line="400" w:lineRule="exact"/>
        <w:jc w:val="center"/>
        <w:textAlignment w:val="auto"/>
        <w:rPr>
          <w:rFonts w:hint="eastAsia" w:ascii="宋体" w:hAnsi="宋体" w:eastAsia="宋体" w:cs="宋体"/>
          <w:b/>
          <w:sz w:val="21"/>
          <w:szCs w:val="21"/>
        </w:rPr>
      </w:pPr>
      <w:r>
        <w:rPr>
          <w:rFonts w:hint="eastAsia" w:ascii="宋体" w:hAnsi="宋体" w:eastAsia="宋体" w:cs="宋体"/>
          <w:b/>
          <w:sz w:val="21"/>
          <w:szCs w:val="21"/>
        </w:rPr>
        <w:t>图</w:t>
      </w:r>
      <w:r>
        <w:rPr>
          <w:rFonts w:hint="eastAsia" w:ascii="宋体" w:hAnsi="宋体" w:eastAsia="宋体" w:cs="宋体"/>
          <w:b/>
          <w:sz w:val="21"/>
          <w:szCs w:val="21"/>
          <w:lang w:val="en-US" w:eastAsia="zh-CN"/>
        </w:rPr>
        <w:t>16</w:t>
      </w:r>
      <w:r>
        <w:rPr>
          <w:rFonts w:hint="eastAsia" w:ascii="宋体" w:hAnsi="宋体" w:eastAsia="宋体" w:cs="宋体"/>
          <w:b/>
          <w:sz w:val="21"/>
          <w:szCs w:val="21"/>
        </w:rPr>
        <w:t xml:space="preserve"> 2015-2025年全国硫酸均价走势</w:t>
      </w:r>
    </w:p>
    <w:p w14:paraId="4DFA0921">
      <w:pPr>
        <w:pageBreakBefore w:val="0"/>
        <w:kinsoku/>
        <w:wordWrap/>
        <w:overflowPunct/>
        <w:topLinePunct w:val="0"/>
        <w:autoSpaceDE/>
        <w:autoSpaceDN/>
        <w:bidi w:val="0"/>
        <w:spacing w:line="400" w:lineRule="exact"/>
        <w:ind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据协会统计测算，2025年全国硫酸平均价格为615元/吨，同比上涨108.5%。全年价格震荡上行，最高点在980元/吨，最低点在355元/吨。</w:t>
      </w:r>
    </w:p>
    <w:p w14:paraId="73FDD621">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37" w:name="_Toc230102067"/>
      <w:r>
        <w:rPr>
          <w:rFonts w:hint="eastAsia" w:ascii="宋体" w:hAnsi="宋体" w:eastAsia="宋体" w:cs="宋体"/>
          <w:b/>
          <w:bCs/>
          <w:sz w:val="21"/>
          <w:szCs w:val="21"/>
          <w:lang w:val="en-US" w:eastAsia="zh-CN"/>
        </w:rPr>
        <w:t>六、硫黄</w:t>
      </w:r>
      <w:bookmarkEnd w:id="37"/>
    </w:p>
    <w:p w14:paraId="6B4865B5">
      <w:pPr>
        <w:pageBreakBefore w:val="0"/>
        <w:kinsoku/>
        <w:wordWrap/>
        <w:overflowPunct/>
        <w:topLinePunct w:val="0"/>
        <w:autoSpaceDE/>
        <w:autoSpaceDN/>
        <w:bidi w:val="0"/>
        <w:spacing w:line="400" w:lineRule="exact"/>
        <w:ind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2025年我国硫黄产能产量增长，进口量下降，价格大幅攀升。未来几年，硫黄供应端出现增长瓶颈，需求端还有增长潜力。</w:t>
      </w:r>
    </w:p>
    <w:p w14:paraId="5624233E">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38" w:name="_Toc230102068"/>
      <w:r>
        <w:rPr>
          <w:rFonts w:hint="eastAsia" w:ascii="宋体" w:hAnsi="宋体" w:eastAsia="宋体" w:cs="宋体"/>
          <w:b/>
          <w:bCs/>
          <w:sz w:val="21"/>
          <w:szCs w:val="21"/>
          <w:lang w:val="en-US" w:eastAsia="zh-CN"/>
        </w:rPr>
        <w:t>1.硫黄产能</w:t>
      </w:r>
      <w:bookmarkEnd w:id="38"/>
    </w:p>
    <w:p w14:paraId="558AD477">
      <w:pPr>
        <w:jc w:val="center"/>
      </w:pPr>
      <w:r>
        <w:drawing>
          <wp:inline distT="0" distB="0" distL="114300" distR="114300">
            <wp:extent cx="4065905" cy="2133600"/>
            <wp:effectExtent l="0" t="0" r="10795" b="0"/>
            <wp:docPr id="11"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7"/>
                    <pic:cNvPicPr>
                      <a:picLocks noChangeAspect="1"/>
                    </pic:cNvPicPr>
                  </pic:nvPicPr>
                  <pic:blipFill>
                    <a:blip r:embed="rId20"/>
                    <a:srcRect t="10297"/>
                    <a:stretch>
                      <a:fillRect/>
                    </a:stretch>
                  </pic:blipFill>
                  <pic:spPr>
                    <a:xfrm>
                      <a:off x="0" y="0"/>
                      <a:ext cx="4065905" cy="2133600"/>
                    </a:xfrm>
                    <a:prstGeom prst="rect">
                      <a:avLst/>
                    </a:prstGeom>
                    <a:noFill/>
                    <a:ln>
                      <a:noFill/>
                    </a:ln>
                  </pic:spPr>
                </pic:pic>
              </a:graphicData>
            </a:graphic>
          </wp:inline>
        </w:drawing>
      </w:r>
    </w:p>
    <w:p w14:paraId="353FDE9F">
      <w:pPr>
        <w:pageBreakBefore w:val="0"/>
        <w:kinsoku/>
        <w:wordWrap/>
        <w:overflowPunct/>
        <w:topLinePunct w:val="0"/>
        <w:autoSpaceDE/>
        <w:autoSpaceDN/>
        <w:bidi w:val="0"/>
        <w:spacing w:line="400" w:lineRule="exact"/>
        <w:jc w:val="center"/>
        <w:textAlignment w:val="auto"/>
        <w:rPr>
          <w:rFonts w:hint="eastAsia" w:ascii="宋体" w:hAnsi="宋体" w:eastAsia="宋体" w:cs="宋体"/>
          <w:b/>
          <w:sz w:val="21"/>
          <w:szCs w:val="21"/>
        </w:rPr>
      </w:pPr>
      <w:r>
        <w:rPr>
          <w:rFonts w:hint="eastAsia" w:ascii="宋体" w:hAnsi="宋体" w:eastAsia="宋体" w:cs="宋体"/>
          <w:b/>
          <w:sz w:val="21"/>
          <w:szCs w:val="21"/>
        </w:rPr>
        <w:t>图</w:t>
      </w:r>
      <w:r>
        <w:rPr>
          <w:rFonts w:hint="eastAsia" w:ascii="宋体" w:hAnsi="宋体" w:eastAsia="宋体" w:cs="宋体"/>
          <w:b/>
          <w:sz w:val="21"/>
          <w:szCs w:val="21"/>
          <w:lang w:val="en-US" w:eastAsia="zh-CN"/>
        </w:rPr>
        <w:t>17</w:t>
      </w:r>
      <w:r>
        <w:rPr>
          <w:rFonts w:hint="eastAsia" w:ascii="宋体" w:hAnsi="宋体" w:eastAsia="宋体" w:cs="宋体"/>
          <w:b/>
          <w:sz w:val="21"/>
          <w:szCs w:val="21"/>
        </w:rPr>
        <w:t xml:space="preserve"> 2021-2025年我国硫黄产能走势</w:t>
      </w:r>
    </w:p>
    <w:p w14:paraId="77D9A968">
      <w:pPr>
        <w:pageBreakBefore w:val="0"/>
        <w:kinsoku/>
        <w:wordWrap/>
        <w:overflowPunct/>
        <w:topLinePunct w:val="0"/>
        <w:autoSpaceDE/>
        <w:autoSpaceDN/>
        <w:bidi w:val="0"/>
        <w:spacing w:line="400" w:lineRule="exact"/>
        <w:ind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据中国硫酸工业协会（以下简称协会）统计，2025年度我国硫黄总产能为1956.2万吨，同比增长7.4%。</w:t>
      </w:r>
    </w:p>
    <w:p w14:paraId="2EC71D24">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39" w:name="_Toc230102075"/>
      <w:r>
        <w:rPr>
          <w:rFonts w:hint="eastAsia" w:ascii="宋体" w:hAnsi="宋体" w:eastAsia="宋体" w:cs="宋体"/>
          <w:b/>
          <w:bCs/>
          <w:sz w:val="21"/>
          <w:szCs w:val="21"/>
          <w:lang w:val="en-US" w:eastAsia="zh-CN"/>
        </w:rPr>
        <w:t>2.硫黄生产情况</w:t>
      </w:r>
      <w:bookmarkEnd w:id="39"/>
    </w:p>
    <w:p w14:paraId="000CAE6B">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40" w:name="_Toc230102076"/>
      <w:r>
        <w:rPr>
          <w:rFonts w:hint="eastAsia" w:ascii="宋体" w:hAnsi="宋体" w:eastAsia="宋体" w:cs="宋体"/>
          <w:b/>
          <w:bCs/>
          <w:sz w:val="21"/>
          <w:szCs w:val="21"/>
          <w:lang w:val="en-US" w:eastAsia="zh-CN"/>
        </w:rPr>
        <w:t>（1）总产量</w:t>
      </w:r>
      <w:bookmarkEnd w:id="40"/>
    </w:p>
    <w:p w14:paraId="22FBE412">
      <w:pPr>
        <w:jc w:val="center"/>
        <w:rPr>
          <w:rFonts w:hint="eastAsia" w:ascii="黑体" w:eastAsia="黑体"/>
          <w:b/>
        </w:rPr>
      </w:pPr>
      <w:r>
        <w:drawing>
          <wp:inline distT="0" distB="0" distL="114300" distR="114300">
            <wp:extent cx="4192905" cy="2162810"/>
            <wp:effectExtent l="0" t="0" r="17145" b="8890"/>
            <wp:docPr id="13"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8"/>
                    <pic:cNvPicPr>
                      <a:picLocks noChangeAspect="1"/>
                    </pic:cNvPicPr>
                  </pic:nvPicPr>
                  <pic:blipFill>
                    <a:blip r:embed="rId21"/>
                    <a:srcRect t="10091"/>
                    <a:stretch>
                      <a:fillRect/>
                    </a:stretch>
                  </pic:blipFill>
                  <pic:spPr>
                    <a:xfrm>
                      <a:off x="0" y="0"/>
                      <a:ext cx="4192905" cy="2162810"/>
                    </a:xfrm>
                    <a:prstGeom prst="rect">
                      <a:avLst/>
                    </a:prstGeom>
                    <a:noFill/>
                    <a:ln>
                      <a:noFill/>
                    </a:ln>
                  </pic:spPr>
                </pic:pic>
              </a:graphicData>
            </a:graphic>
          </wp:inline>
        </w:drawing>
      </w:r>
    </w:p>
    <w:p w14:paraId="31E04EED">
      <w:pPr>
        <w:pageBreakBefore w:val="0"/>
        <w:kinsoku/>
        <w:wordWrap/>
        <w:overflowPunct/>
        <w:topLinePunct w:val="0"/>
        <w:autoSpaceDE/>
        <w:autoSpaceDN/>
        <w:bidi w:val="0"/>
        <w:spacing w:line="400" w:lineRule="exact"/>
        <w:jc w:val="center"/>
        <w:textAlignment w:val="auto"/>
        <w:rPr>
          <w:rFonts w:hint="eastAsia" w:ascii="宋体" w:hAnsi="宋体" w:eastAsia="宋体" w:cs="宋体"/>
          <w:b/>
          <w:sz w:val="21"/>
          <w:szCs w:val="21"/>
        </w:rPr>
      </w:pPr>
      <w:bookmarkStart w:id="41" w:name="_Hlk166489878"/>
      <w:r>
        <w:rPr>
          <w:rFonts w:hint="eastAsia" w:ascii="宋体" w:hAnsi="宋体" w:eastAsia="宋体" w:cs="宋体"/>
          <w:b/>
          <w:sz w:val="21"/>
          <w:szCs w:val="21"/>
        </w:rPr>
        <w:t>图</w:t>
      </w:r>
      <w:r>
        <w:rPr>
          <w:rFonts w:hint="eastAsia" w:ascii="宋体" w:hAnsi="宋体" w:eastAsia="宋体" w:cs="宋体"/>
          <w:b/>
          <w:sz w:val="21"/>
          <w:szCs w:val="21"/>
          <w:lang w:val="en-US" w:eastAsia="zh-CN"/>
        </w:rPr>
        <w:t>18</w:t>
      </w:r>
      <w:r>
        <w:rPr>
          <w:rFonts w:hint="eastAsia" w:ascii="宋体" w:hAnsi="宋体" w:eastAsia="宋体" w:cs="宋体"/>
          <w:b/>
          <w:sz w:val="21"/>
          <w:szCs w:val="21"/>
        </w:rPr>
        <w:t xml:space="preserve"> 2020-2025年我国硫黄产量走势图</w:t>
      </w:r>
    </w:p>
    <w:bookmarkEnd w:id="41"/>
    <w:p w14:paraId="18FE94DC">
      <w:pPr>
        <w:pageBreakBefore w:val="0"/>
        <w:kinsoku/>
        <w:wordWrap/>
        <w:overflowPunct/>
        <w:topLinePunct w:val="0"/>
        <w:autoSpaceDE/>
        <w:autoSpaceDN/>
        <w:bidi w:val="0"/>
        <w:spacing w:line="400" w:lineRule="exact"/>
        <w:ind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据协会统计，2025年我国硫黄总产量1179.6万吨，同比增长5.9%。</w:t>
      </w:r>
    </w:p>
    <w:p w14:paraId="2A0CFD91">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42" w:name="_Toc230102077"/>
      <w:r>
        <w:rPr>
          <w:rFonts w:hint="eastAsia" w:ascii="宋体" w:hAnsi="宋体" w:eastAsia="宋体" w:cs="宋体"/>
          <w:b/>
          <w:bCs/>
          <w:sz w:val="21"/>
          <w:szCs w:val="21"/>
          <w:lang w:val="en-US" w:eastAsia="zh-CN"/>
        </w:rPr>
        <w:t>（2）原材料结构</w:t>
      </w:r>
      <w:bookmarkEnd w:id="42"/>
    </w:p>
    <w:p w14:paraId="06DEAFD0">
      <w:pPr>
        <w:jc w:val="center"/>
      </w:pPr>
      <w:r>
        <w:drawing>
          <wp:inline distT="0" distB="0" distL="114300" distR="114300">
            <wp:extent cx="5017135" cy="2162810"/>
            <wp:effectExtent l="0" t="0" r="12065" b="8890"/>
            <wp:docPr id="15"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9"/>
                    <pic:cNvPicPr>
                      <a:picLocks noChangeAspect="1"/>
                    </pic:cNvPicPr>
                  </pic:nvPicPr>
                  <pic:blipFill>
                    <a:blip r:embed="rId22"/>
                    <a:srcRect t="21960" b="3252"/>
                    <a:stretch>
                      <a:fillRect/>
                    </a:stretch>
                  </pic:blipFill>
                  <pic:spPr>
                    <a:xfrm>
                      <a:off x="0" y="0"/>
                      <a:ext cx="5017135" cy="2162810"/>
                    </a:xfrm>
                    <a:prstGeom prst="rect">
                      <a:avLst/>
                    </a:prstGeom>
                    <a:noFill/>
                    <a:ln>
                      <a:noFill/>
                    </a:ln>
                  </pic:spPr>
                </pic:pic>
              </a:graphicData>
            </a:graphic>
          </wp:inline>
        </w:drawing>
      </w:r>
    </w:p>
    <w:p w14:paraId="3BFBE14A">
      <w:pPr>
        <w:pageBreakBefore w:val="0"/>
        <w:kinsoku/>
        <w:wordWrap/>
        <w:overflowPunct/>
        <w:topLinePunct w:val="0"/>
        <w:autoSpaceDE/>
        <w:autoSpaceDN/>
        <w:bidi w:val="0"/>
        <w:spacing w:line="400" w:lineRule="exact"/>
        <w:jc w:val="center"/>
        <w:textAlignment w:val="auto"/>
        <w:rPr>
          <w:rFonts w:hint="eastAsia" w:ascii="宋体" w:hAnsi="宋体" w:eastAsia="宋体" w:cs="宋体"/>
          <w:b/>
          <w:sz w:val="21"/>
          <w:szCs w:val="21"/>
        </w:rPr>
      </w:pPr>
      <w:bookmarkStart w:id="43" w:name="_Hlk166489881"/>
      <w:r>
        <w:rPr>
          <w:rFonts w:hint="eastAsia" w:ascii="宋体" w:hAnsi="宋体" w:eastAsia="宋体" w:cs="宋体"/>
          <w:b/>
          <w:sz w:val="21"/>
          <w:szCs w:val="21"/>
        </w:rPr>
        <w:t>图</w:t>
      </w:r>
      <w:r>
        <w:rPr>
          <w:rFonts w:hint="eastAsia" w:ascii="宋体" w:hAnsi="宋体" w:eastAsia="宋体" w:cs="宋体"/>
          <w:b/>
          <w:sz w:val="21"/>
          <w:szCs w:val="21"/>
          <w:lang w:val="en-US" w:eastAsia="zh-CN"/>
        </w:rPr>
        <w:t>19</w:t>
      </w:r>
      <w:r>
        <w:rPr>
          <w:rFonts w:hint="eastAsia" w:ascii="宋体" w:hAnsi="宋体" w:eastAsia="宋体" w:cs="宋体"/>
          <w:b/>
          <w:sz w:val="21"/>
          <w:szCs w:val="21"/>
        </w:rPr>
        <w:t xml:space="preserve"> 2025年我国硫黄产量结构（按原材料分）</w:t>
      </w:r>
    </w:p>
    <w:bookmarkEnd w:id="43"/>
    <w:p w14:paraId="24C8D330">
      <w:pPr>
        <w:pageBreakBefore w:val="0"/>
        <w:kinsoku/>
        <w:wordWrap/>
        <w:overflowPunct/>
        <w:topLinePunct w:val="0"/>
        <w:autoSpaceDE/>
        <w:autoSpaceDN/>
        <w:bidi w:val="0"/>
        <w:spacing w:line="400" w:lineRule="exact"/>
        <w:ind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据协会统计，2025年，我国石油炼化副产硫黄751.5万吨，同比增长2.0%，占比63.7%；天然气炼化副产硫黄348.8万吨，同比增长13.0%，占比29.6%；煤化工副产硫黄71.4万吨，同比增长16.2%，占比6.1%。</w:t>
      </w:r>
    </w:p>
    <w:p w14:paraId="5BB07505">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44" w:name="_Toc230102078"/>
      <w:r>
        <w:rPr>
          <w:rFonts w:hint="eastAsia" w:ascii="宋体" w:hAnsi="宋体" w:eastAsia="宋体" w:cs="宋体"/>
          <w:b/>
          <w:bCs/>
          <w:sz w:val="21"/>
          <w:szCs w:val="21"/>
          <w:lang w:val="en-US" w:eastAsia="zh-CN"/>
        </w:rPr>
        <w:t>（3）企业结构</w:t>
      </w:r>
      <w:bookmarkEnd w:id="44"/>
    </w:p>
    <w:p w14:paraId="0EFB442C">
      <w:pPr>
        <w:jc w:val="center"/>
        <w:rPr>
          <w:rFonts w:hint="eastAsia"/>
        </w:rPr>
      </w:pPr>
      <w:r>
        <w:drawing>
          <wp:inline distT="0" distB="0" distL="114300" distR="114300">
            <wp:extent cx="5274310" cy="2361565"/>
            <wp:effectExtent l="0" t="0" r="2540" b="635"/>
            <wp:docPr id="18"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0"/>
                    <pic:cNvPicPr>
                      <a:picLocks noChangeAspect="1"/>
                    </pic:cNvPicPr>
                  </pic:nvPicPr>
                  <pic:blipFill>
                    <a:blip r:embed="rId23"/>
                    <a:srcRect t="21767"/>
                    <a:stretch>
                      <a:fillRect/>
                    </a:stretch>
                  </pic:blipFill>
                  <pic:spPr>
                    <a:xfrm>
                      <a:off x="0" y="0"/>
                      <a:ext cx="5274310" cy="2361565"/>
                    </a:xfrm>
                    <a:prstGeom prst="rect">
                      <a:avLst/>
                    </a:prstGeom>
                    <a:noFill/>
                    <a:ln>
                      <a:noFill/>
                    </a:ln>
                  </pic:spPr>
                </pic:pic>
              </a:graphicData>
            </a:graphic>
          </wp:inline>
        </w:drawing>
      </w:r>
    </w:p>
    <w:p w14:paraId="10A66B26">
      <w:pPr>
        <w:pageBreakBefore w:val="0"/>
        <w:kinsoku/>
        <w:wordWrap/>
        <w:overflowPunct/>
        <w:topLinePunct w:val="0"/>
        <w:autoSpaceDE/>
        <w:autoSpaceDN/>
        <w:bidi w:val="0"/>
        <w:spacing w:line="400" w:lineRule="exact"/>
        <w:jc w:val="center"/>
        <w:textAlignment w:val="auto"/>
        <w:rPr>
          <w:rFonts w:hint="eastAsia" w:ascii="宋体" w:hAnsi="宋体" w:eastAsia="宋体" w:cs="宋体"/>
          <w:b/>
          <w:sz w:val="21"/>
          <w:szCs w:val="21"/>
        </w:rPr>
      </w:pPr>
      <w:bookmarkStart w:id="45" w:name="_Hlk166489885"/>
      <w:r>
        <w:rPr>
          <w:rFonts w:hint="eastAsia" w:ascii="宋体" w:hAnsi="宋体" w:eastAsia="宋体" w:cs="宋体"/>
          <w:b/>
          <w:sz w:val="21"/>
          <w:szCs w:val="21"/>
        </w:rPr>
        <w:t>图</w:t>
      </w:r>
      <w:r>
        <w:rPr>
          <w:rFonts w:hint="eastAsia" w:ascii="宋体" w:hAnsi="宋体" w:eastAsia="宋体" w:cs="宋体"/>
          <w:b/>
          <w:sz w:val="21"/>
          <w:szCs w:val="21"/>
          <w:lang w:val="en-US" w:eastAsia="zh-CN"/>
        </w:rPr>
        <w:t>20</w:t>
      </w:r>
      <w:r>
        <w:rPr>
          <w:rFonts w:hint="eastAsia" w:ascii="宋体" w:hAnsi="宋体" w:eastAsia="宋体" w:cs="宋体"/>
          <w:b/>
          <w:sz w:val="21"/>
          <w:szCs w:val="21"/>
        </w:rPr>
        <w:t xml:space="preserve"> 2025年我国硫黄产量结构（按企业所属分）</w:t>
      </w:r>
    </w:p>
    <w:bookmarkEnd w:id="45"/>
    <w:p w14:paraId="4BE5D397">
      <w:pPr>
        <w:pageBreakBefore w:val="0"/>
        <w:kinsoku/>
        <w:wordWrap/>
        <w:overflowPunct/>
        <w:topLinePunct w:val="0"/>
        <w:autoSpaceDE/>
        <w:autoSpaceDN/>
        <w:bidi w:val="0"/>
        <w:spacing w:line="400" w:lineRule="exact"/>
        <w:ind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据协会统计，2025年中石化硫黄产量603.0万吨，同比增长1.2%，占总产量比例51.1%；中石油硫黄产量202.3万吨，同比增长12.4%，占比17.1%；中化集团和中海油硫黄产量34.4万吨，同比下降7.8%，占比2.9%；其他炼厂硫黄产量339.9万吨，同比增长13.0%，占比28.8%。</w:t>
      </w:r>
    </w:p>
    <w:p w14:paraId="7B44CABC">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46" w:name="_Toc230102084"/>
      <w:r>
        <w:rPr>
          <w:rFonts w:hint="eastAsia" w:ascii="宋体" w:hAnsi="宋体" w:eastAsia="宋体" w:cs="宋体"/>
          <w:b/>
          <w:bCs/>
          <w:sz w:val="21"/>
          <w:szCs w:val="21"/>
          <w:lang w:val="en-US" w:eastAsia="zh-CN"/>
        </w:rPr>
        <w:t>3.硫黄进口情况</w:t>
      </w:r>
      <w:bookmarkEnd w:id="46"/>
    </w:p>
    <w:p w14:paraId="509BB104">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47" w:name="_Toc230102085"/>
      <w:r>
        <w:rPr>
          <w:rFonts w:hint="eastAsia" w:ascii="宋体" w:hAnsi="宋体" w:eastAsia="宋体" w:cs="宋体"/>
          <w:b/>
          <w:bCs/>
          <w:sz w:val="21"/>
          <w:szCs w:val="21"/>
          <w:lang w:val="en-US" w:eastAsia="zh-CN"/>
        </w:rPr>
        <w:t>（1）进口量及进口价格</w:t>
      </w:r>
      <w:bookmarkEnd w:id="47"/>
    </w:p>
    <w:p w14:paraId="7A156EF5">
      <w:pPr>
        <w:jc w:val="center"/>
        <w:rPr>
          <w:rFonts w:hint="eastAsia" w:ascii="黑体" w:eastAsia="黑体"/>
          <w:b/>
        </w:rPr>
      </w:pPr>
      <w:r>
        <w:drawing>
          <wp:inline distT="0" distB="0" distL="114300" distR="114300">
            <wp:extent cx="4351655" cy="2266950"/>
            <wp:effectExtent l="0" t="0" r="10795"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24"/>
                    <a:srcRect t="8960"/>
                    <a:stretch>
                      <a:fillRect/>
                    </a:stretch>
                  </pic:blipFill>
                  <pic:spPr>
                    <a:xfrm>
                      <a:off x="0" y="0"/>
                      <a:ext cx="4351655" cy="2266950"/>
                    </a:xfrm>
                    <a:prstGeom prst="rect">
                      <a:avLst/>
                    </a:prstGeom>
                    <a:noFill/>
                    <a:ln>
                      <a:noFill/>
                    </a:ln>
                  </pic:spPr>
                </pic:pic>
              </a:graphicData>
            </a:graphic>
          </wp:inline>
        </w:drawing>
      </w:r>
    </w:p>
    <w:p w14:paraId="605DE7E2">
      <w:pPr>
        <w:pageBreakBefore w:val="0"/>
        <w:kinsoku/>
        <w:wordWrap/>
        <w:overflowPunct/>
        <w:topLinePunct w:val="0"/>
        <w:autoSpaceDE/>
        <w:autoSpaceDN/>
        <w:bidi w:val="0"/>
        <w:spacing w:line="400" w:lineRule="exact"/>
        <w:jc w:val="center"/>
        <w:textAlignment w:val="auto"/>
        <w:rPr>
          <w:rFonts w:hint="eastAsia" w:ascii="宋体" w:hAnsi="宋体" w:eastAsia="宋体" w:cs="宋体"/>
          <w:b/>
          <w:sz w:val="21"/>
          <w:szCs w:val="21"/>
        </w:rPr>
      </w:pPr>
      <w:bookmarkStart w:id="48" w:name="_Hlk166489924"/>
      <w:r>
        <w:rPr>
          <w:rFonts w:hint="eastAsia" w:ascii="宋体" w:hAnsi="宋体" w:eastAsia="宋体" w:cs="宋体"/>
          <w:b/>
          <w:sz w:val="21"/>
          <w:szCs w:val="21"/>
        </w:rPr>
        <w:t>图</w:t>
      </w:r>
      <w:r>
        <w:rPr>
          <w:rFonts w:hint="eastAsia" w:ascii="宋体" w:hAnsi="宋体" w:eastAsia="宋体" w:cs="宋体"/>
          <w:b/>
          <w:sz w:val="21"/>
          <w:szCs w:val="21"/>
          <w:lang w:val="en-US" w:eastAsia="zh-CN"/>
        </w:rPr>
        <w:t>21</w:t>
      </w:r>
      <w:r>
        <w:rPr>
          <w:rFonts w:hint="eastAsia" w:ascii="宋体" w:hAnsi="宋体" w:eastAsia="宋体" w:cs="宋体"/>
          <w:b/>
          <w:sz w:val="21"/>
          <w:szCs w:val="21"/>
        </w:rPr>
        <w:t xml:space="preserve"> 2020-2025年我国硫黄进口量及进口价格走势</w:t>
      </w:r>
    </w:p>
    <w:bookmarkEnd w:id="48"/>
    <w:p w14:paraId="3E79D64D">
      <w:pPr>
        <w:pageBreakBefore w:val="0"/>
        <w:kinsoku/>
        <w:wordWrap/>
        <w:overflowPunct/>
        <w:topLinePunct w:val="0"/>
        <w:autoSpaceDE/>
        <w:autoSpaceDN/>
        <w:bidi w:val="0"/>
        <w:spacing w:line="400" w:lineRule="exact"/>
        <w:ind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据海关统计，2025年我国进口硫黄960.8万吨，同比下降3.5%；平均进口价格265.3美元/吨，同比上升128.2%。</w:t>
      </w:r>
    </w:p>
    <w:p w14:paraId="7936BBAE">
      <w:pPr>
        <w:keepNext w:val="0"/>
        <w:keepLines w:val="0"/>
        <w:pageBreakBefore w:val="0"/>
        <w:widowControl w:val="0"/>
        <w:kinsoku/>
        <w:wordWrap/>
        <w:overflowPunct/>
        <w:topLinePunct w:val="0"/>
        <w:autoSpaceDE/>
        <w:autoSpaceDN/>
        <w:bidi w:val="0"/>
        <w:adjustRightInd/>
        <w:snapToGrid/>
        <w:spacing w:line="240" w:lineRule="auto"/>
        <w:ind w:firstLine="422" w:firstLineChars="200"/>
        <w:textAlignment w:val="auto"/>
        <w:rPr>
          <w:rFonts w:hint="eastAsia" w:ascii="宋体" w:hAnsi="宋体" w:eastAsia="宋体" w:cs="宋体"/>
          <w:b/>
          <w:bCs/>
          <w:sz w:val="21"/>
          <w:szCs w:val="21"/>
          <w:lang w:val="en-US" w:eastAsia="zh-CN"/>
        </w:rPr>
      </w:pPr>
      <w:bookmarkStart w:id="49" w:name="_Toc230102086"/>
      <w:r>
        <w:rPr>
          <w:rFonts w:hint="eastAsia" w:ascii="宋体" w:hAnsi="宋体" w:eastAsia="宋体" w:cs="宋体"/>
          <w:b/>
          <w:bCs/>
          <w:sz w:val="21"/>
          <w:szCs w:val="21"/>
          <w:lang w:val="en-US" w:eastAsia="zh-CN"/>
        </w:rPr>
        <w:t>（2）进口硫黄来源</w:t>
      </w:r>
      <w:bookmarkEnd w:id="49"/>
    </w:p>
    <w:p w14:paraId="3CFE743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sz w:val="21"/>
          <w:szCs w:val="21"/>
        </w:rPr>
      </w:pPr>
      <w:r>
        <w:rPr>
          <w:rFonts w:hint="eastAsia" w:ascii="宋体" w:hAnsi="宋体" w:eastAsia="宋体" w:cs="宋体"/>
          <w:b/>
          <w:sz w:val="21"/>
          <w:szCs w:val="21"/>
        </w:rPr>
        <w:drawing>
          <wp:inline distT="0" distB="0" distL="114300" distR="114300">
            <wp:extent cx="4432300" cy="2267585"/>
            <wp:effectExtent l="0" t="0" r="6350" b="1841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25"/>
                    <a:srcRect t="10997" b="5882"/>
                    <a:stretch>
                      <a:fillRect/>
                    </a:stretch>
                  </pic:blipFill>
                  <pic:spPr>
                    <a:xfrm>
                      <a:off x="0" y="0"/>
                      <a:ext cx="4432300" cy="2267585"/>
                    </a:xfrm>
                    <a:prstGeom prst="rect">
                      <a:avLst/>
                    </a:prstGeom>
                    <a:noFill/>
                    <a:ln>
                      <a:noFill/>
                    </a:ln>
                  </pic:spPr>
                </pic:pic>
              </a:graphicData>
            </a:graphic>
          </wp:inline>
        </w:drawing>
      </w:r>
    </w:p>
    <w:p w14:paraId="44A03AAB">
      <w:pPr>
        <w:pageBreakBefore w:val="0"/>
        <w:kinsoku/>
        <w:wordWrap/>
        <w:overflowPunct/>
        <w:topLinePunct w:val="0"/>
        <w:autoSpaceDE/>
        <w:autoSpaceDN/>
        <w:bidi w:val="0"/>
        <w:spacing w:line="400" w:lineRule="exact"/>
        <w:jc w:val="center"/>
        <w:textAlignment w:val="auto"/>
        <w:rPr>
          <w:rFonts w:hint="eastAsia" w:ascii="宋体" w:hAnsi="宋体" w:eastAsia="宋体" w:cs="宋体"/>
          <w:b/>
          <w:sz w:val="21"/>
          <w:szCs w:val="21"/>
        </w:rPr>
      </w:pPr>
      <w:bookmarkStart w:id="50" w:name="_Hlk166489929"/>
      <w:r>
        <w:rPr>
          <w:rFonts w:hint="eastAsia" w:ascii="宋体" w:hAnsi="宋体" w:eastAsia="宋体" w:cs="宋体"/>
          <w:b/>
          <w:sz w:val="21"/>
          <w:szCs w:val="21"/>
        </w:rPr>
        <w:t>图</w:t>
      </w:r>
      <w:r>
        <w:rPr>
          <w:rFonts w:hint="eastAsia" w:ascii="宋体" w:hAnsi="宋体" w:eastAsia="宋体" w:cs="宋体"/>
          <w:b/>
          <w:sz w:val="21"/>
          <w:szCs w:val="21"/>
          <w:lang w:val="en-US" w:eastAsia="zh-CN"/>
        </w:rPr>
        <w:t>22</w:t>
      </w:r>
      <w:r>
        <w:rPr>
          <w:rFonts w:hint="eastAsia" w:ascii="宋体" w:hAnsi="宋体" w:eastAsia="宋体" w:cs="宋体"/>
          <w:b/>
          <w:sz w:val="21"/>
          <w:szCs w:val="21"/>
        </w:rPr>
        <w:t xml:space="preserve"> 2025年我国进口硫黄来源</w:t>
      </w:r>
    </w:p>
    <w:bookmarkEnd w:id="50"/>
    <w:p w14:paraId="2D17ED3B">
      <w:pPr>
        <w:pageBreakBefore w:val="0"/>
        <w:kinsoku/>
        <w:wordWrap/>
        <w:overflowPunct/>
        <w:topLinePunct w:val="0"/>
        <w:autoSpaceDE/>
        <w:autoSpaceDN/>
        <w:bidi w:val="0"/>
        <w:spacing w:line="400" w:lineRule="exact"/>
        <w:ind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我国进口硫黄主要来自中东、北美和日韩，2025年我国进口硫黄来源排名前五的国家分别是阿曼、阿联酋、加拿大、韩国、沙特。</w:t>
      </w:r>
    </w:p>
    <w:p w14:paraId="5009ADDD">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51" w:name="_Toc230102091"/>
      <w:r>
        <w:rPr>
          <w:rFonts w:hint="eastAsia" w:ascii="宋体" w:hAnsi="宋体" w:eastAsia="宋体" w:cs="宋体"/>
          <w:b/>
          <w:bCs/>
          <w:sz w:val="21"/>
          <w:szCs w:val="21"/>
          <w:lang w:val="en-US" w:eastAsia="zh-CN"/>
        </w:rPr>
        <w:t>4.硫黄价格</w:t>
      </w:r>
      <w:bookmarkEnd w:id="51"/>
    </w:p>
    <w:p w14:paraId="66892BE5">
      <w:pPr>
        <w:jc w:val="center"/>
        <w:rPr>
          <w:rFonts w:hint="eastAsia"/>
        </w:rPr>
      </w:pPr>
      <w:r>
        <w:drawing>
          <wp:inline distT="0" distB="0" distL="114300" distR="114300">
            <wp:extent cx="4116705" cy="2266315"/>
            <wp:effectExtent l="0" t="0" r="17145" b="63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26"/>
                    <a:srcRect t="9441"/>
                    <a:stretch>
                      <a:fillRect/>
                    </a:stretch>
                  </pic:blipFill>
                  <pic:spPr>
                    <a:xfrm>
                      <a:off x="0" y="0"/>
                      <a:ext cx="4116705" cy="2266315"/>
                    </a:xfrm>
                    <a:prstGeom prst="rect">
                      <a:avLst/>
                    </a:prstGeom>
                    <a:noFill/>
                    <a:ln>
                      <a:noFill/>
                    </a:ln>
                  </pic:spPr>
                </pic:pic>
              </a:graphicData>
            </a:graphic>
          </wp:inline>
        </w:drawing>
      </w:r>
    </w:p>
    <w:p w14:paraId="2FE394B9">
      <w:pPr>
        <w:pageBreakBefore w:val="0"/>
        <w:kinsoku/>
        <w:wordWrap/>
        <w:overflowPunct/>
        <w:topLinePunct w:val="0"/>
        <w:autoSpaceDE/>
        <w:autoSpaceDN/>
        <w:bidi w:val="0"/>
        <w:spacing w:line="400" w:lineRule="exact"/>
        <w:jc w:val="center"/>
        <w:textAlignment w:val="auto"/>
        <w:rPr>
          <w:rFonts w:hint="eastAsia" w:ascii="宋体" w:hAnsi="宋体" w:eastAsia="宋体" w:cs="宋体"/>
          <w:b/>
          <w:sz w:val="21"/>
          <w:szCs w:val="21"/>
        </w:rPr>
      </w:pPr>
      <w:r>
        <w:rPr>
          <w:rFonts w:hint="eastAsia" w:ascii="宋体" w:hAnsi="宋体" w:eastAsia="宋体" w:cs="宋体"/>
          <w:b/>
          <w:sz w:val="21"/>
          <w:szCs w:val="21"/>
        </w:rPr>
        <w:t>图</w:t>
      </w:r>
      <w:r>
        <w:rPr>
          <w:rFonts w:hint="eastAsia" w:ascii="宋体" w:hAnsi="宋体" w:eastAsia="宋体" w:cs="宋体"/>
          <w:b/>
          <w:sz w:val="21"/>
          <w:szCs w:val="21"/>
          <w:lang w:val="en-US" w:eastAsia="zh-CN"/>
        </w:rPr>
        <w:t>23</w:t>
      </w:r>
      <w:r>
        <w:rPr>
          <w:rFonts w:hint="eastAsia" w:ascii="宋体" w:hAnsi="宋体" w:eastAsia="宋体" w:cs="宋体"/>
          <w:b/>
          <w:sz w:val="21"/>
          <w:szCs w:val="21"/>
        </w:rPr>
        <w:t xml:space="preserve"> 2015-2025年我国硫黄价格走势</w:t>
      </w:r>
    </w:p>
    <w:p w14:paraId="6C43FC6C">
      <w:pPr>
        <w:pageBreakBefore w:val="0"/>
        <w:kinsoku/>
        <w:wordWrap/>
        <w:overflowPunct/>
        <w:topLinePunct w:val="0"/>
        <w:autoSpaceDE/>
        <w:autoSpaceDN/>
        <w:bidi w:val="0"/>
        <w:spacing w:line="400" w:lineRule="exact"/>
        <w:ind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据协会统计，2025年，我国硫黄平均价格为2556.5元/吨，同比上涨128.3%。从全年走势来看，除年中和年底价格有小幅回落外，上半年和下半年价格均一路上行，年初价格在1500元/吨，到年底时价格在3850元/吨，全年最高价格在4000元/吨。</w:t>
      </w:r>
    </w:p>
    <w:p w14:paraId="0341D82A">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52" w:name="_Toc230102097"/>
      <w:r>
        <w:rPr>
          <w:rFonts w:hint="eastAsia" w:ascii="宋体" w:hAnsi="宋体" w:eastAsia="宋体" w:cs="宋体"/>
          <w:b/>
          <w:bCs/>
          <w:sz w:val="21"/>
          <w:szCs w:val="21"/>
          <w:lang w:val="en-US" w:eastAsia="zh-CN"/>
        </w:rPr>
        <w:t>七、硫铁矿</w:t>
      </w:r>
      <w:bookmarkEnd w:id="52"/>
    </w:p>
    <w:p w14:paraId="5B7E0846">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53" w:name="_Toc230102098"/>
      <w:r>
        <w:rPr>
          <w:rFonts w:hint="eastAsia" w:ascii="宋体" w:hAnsi="宋体" w:eastAsia="宋体" w:cs="宋体"/>
          <w:b/>
          <w:bCs/>
          <w:sz w:val="21"/>
          <w:szCs w:val="21"/>
          <w:lang w:val="en-US" w:eastAsia="zh-CN"/>
        </w:rPr>
        <w:t>1.硫铁矿生产情况</w:t>
      </w:r>
      <w:bookmarkEnd w:id="53"/>
    </w:p>
    <w:p w14:paraId="1CE41ACD">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54" w:name="_Toc230102099"/>
      <w:r>
        <w:rPr>
          <w:rFonts w:hint="eastAsia" w:ascii="宋体" w:hAnsi="宋体" w:eastAsia="宋体" w:cs="宋体"/>
          <w:b/>
          <w:bCs/>
          <w:sz w:val="21"/>
          <w:szCs w:val="21"/>
          <w:lang w:val="en-US" w:eastAsia="zh-CN"/>
        </w:rPr>
        <w:t>（1）总产量</w:t>
      </w:r>
      <w:bookmarkEnd w:id="54"/>
    </w:p>
    <w:p w14:paraId="531E14E6">
      <w:pPr>
        <w:jc w:val="center"/>
        <w:rPr>
          <w:rFonts w:hint="eastAsia"/>
        </w:rPr>
      </w:pPr>
      <w:r>
        <w:drawing>
          <wp:inline distT="0" distB="0" distL="114300" distR="114300">
            <wp:extent cx="4028440" cy="2162175"/>
            <wp:effectExtent l="0" t="0" r="10160" b="9525"/>
            <wp:docPr id="17"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4"/>
                    <pic:cNvPicPr>
                      <a:picLocks noChangeAspect="1"/>
                    </pic:cNvPicPr>
                  </pic:nvPicPr>
                  <pic:blipFill>
                    <a:blip r:embed="rId27"/>
                    <a:srcRect t="8455"/>
                    <a:stretch>
                      <a:fillRect/>
                    </a:stretch>
                  </pic:blipFill>
                  <pic:spPr>
                    <a:xfrm>
                      <a:off x="0" y="0"/>
                      <a:ext cx="4028440" cy="2162175"/>
                    </a:xfrm>
                    <a:prstGeom prst="rect">
                      <a:avLst/>
                    </a:prstGeom>
                    <a:noFill/>
                    <a:ln>
                      <a:noFill/>
                    </a:ln>
                  </pic:spPr>
                </pic:pic>
              </a:graphicData>
            </a:graphic>
          </wp:inline>
        </w:drawing>
      </w:r>
    </w:p>
    <w:p w14:paraId="6FDD53E3">
      <w:pPr>
        <w:pageBreakBefore w:val="0"/>
        <w:kinsoku/>
        <w:wordWrap/>
        <w:overflowPunct/>
        <w:topLinePunct w:val="0"/>
        <w:autoSpaceDE/>
        <w:autoSpaceDN/>
        <w:bidi w:val="0"/>
        <w:spacing w:line="400" w:lineRule="exact"/>
        <w:jc w:val="center"/>
        <w:textAlignment w:val="auto"/>
        <w:rPr>
          <w:rFonts w:hint="eastAsia" w:ascii="宋体" w:hAnsi="宋体" w:eastAsia="宋体" w:cs="宋体"/>
          <w:b/>
          <w:sz w:val="21"/>
          <w:szCs w:val="21"/>
        </w:rPr>
      </w:pPr>
      <w:bookmarkStart w:id="55" w:name="_Hlk72422041"/>
      <w:r>
        <w:rPr>
          <w:rFonts w:hint="eastAsia" w:ascii="宋体" w:hAnsi="宋体" w:eastAsia="宋体" w:cs="宋体"/>
          <w:b/>
          <w:sz w:val="21"/>
          <w:szCs w:val="21"/>
        </w:rPr>
        <w:t>图</w:t>
      </w:r>
      <w:r>
        <w:rPr>
          <w:rFonts w:hint="eastAsia" w:ascii="宋体" w:hAnsi="宋体" w:eastAsia="宋体" w:cs="宋体"/>
          <w:b/>
          <w:sz w:val="21"/>
          <w:szCs w:val="21"/>
          <w:lang w:val="en-US" w:eastAsia="zh-CN"/>
        </w:rPr>
        <w:t>24</w:t>
      </w:r>
      <w:r>
        <w:rPr>
          <w:rFonts w:hint="eastAsia" w:ascii="宋体" w:hAnsi="宋体" w:eastAsia="宋体" w:cs="宋体"/>
          <w:b/>
          <w:sz w:val="21"/>
          <w:szCs w:val="21"/>
        </w:rPr>
        <w:t xml:space="preserve"> 2020-2025年我国硫铁矿产量走势</w:t>
      </w:r>
    </w:p>
    <w:bookmarkEnd w:id="55"/>
    <w:p w14:paraId="4D690121">
      <w:pPr>
        <w:pageBreakBefore w:val="0"/>
        <w:kinsoku/>
        <w:wordWrap/>
        <w:overflowPunct/>
        <w:topLinePunct w:val="0"/>
        <w:autoSpaceDE/>
        <w:autoSpaceDN/>
        <w:bidi w:val="0"/>
        <w:spacing w:line="400" w:lineRule="exact"/>
        <w:ind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据协会统计测算，2025年全国硫铁矿产量1895.5万吨（折含S 35%，下同），同比增长2.7%。</w:t>
      </w:r>
    </w:p>
    <w:p w14:paraId="7732852D">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56" w:name="_Toc230102100"/>
      <w:r>
        <w:rPr>
          <w:rFonts w:hint="eastAsia" w:ascii="宋体" w:hAnsi="宋体" w:eastAsia="宋体" w:cs="宋体"/>
          <w:b/>
          <w:bCs/>
          <w:sz w:val="21"/>
          <w:szCs w:val="21"/>
          <w:lang w:val="en-US" w:eastAsia="zh-CN"/>
        </w:rPr>
        <w:t>（2）产量分布</w:t>
      </w:r>
      <w:bookmarkEnd w:id="56"/>
    </w:p>
    <w:p w14:paraId="07CDEB10">
      <w:pPr>
        <w:jc w:val="center"/>
        <w:rPr>
          <w:rFonts w:hint="eastAsia"/>
        </w:rPr>
      </w:pPr>
      <w:r>
        <w:drawing>
          <wp:inline distT="0" distB="0" distL="114300" distR="114300">
            <wp:extent cx="3217545" cy="2703830"/>
            <wp:effectExtent l="0" t="0" r="1905" b="1270"/>
            <wp:docPr id="24"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5"/>
                    <pic:cNvPicPr>
                      <a:picLocks noChangeAspect="1"/>
                    </pic:cNvPicPr>
                  </pic:nvPicPr>
                  <pic:blipFill>
                    <a:blip r:embed="rId28"/>
                    <a:stretch>
                      <a:fillRect/>
                    </a:stretch>
                  </pic:blipFill>
                  <pic:spPr>
                    <a:xfrm>
                      <a:off x="0" y="0"/>
                      <a:ext cx="3217545" cy="2703830"/>
                    </a:xfrm>
                    <a:prstGeom prst="rect">
                      <a:avLst/>
                    </a:prstGeom>
                    <a:solidFill>
                      <a:srgbClr val="FFFFFF"/>
                    </a:solidFill>
                    <a:ln>
                      <a:noFill/>
                    </a:ln>
                  </pic:spPr>
                </pic:pic>
              </a:graphicData>
            </a:graphic>
          </wp:inline>
        </w:drawing>
      </w:r>
    </w:p>
    <w:p w14:paraId="4595E13C">
      <w:pPr>
        <w:pageBreakBefore w:val="0"/>
        <w:kinsoku/>
        <w:wordWrap/>
        <w:overflowPunct/>
        <w:topLinePunct w:val="0"/>
        <w:autoSpaceDE/>
        <w:autoSpaceDN/>
        <w:bidi w:val="0"/>
        <w:spacing w:line="400" w:lineRule="exact"/>
        <w:jc w:val="center"/>
        <w:textAlignment w:val="auto"/>
        <w:rPr>
          <w:rFonts w:hint="eastAsia" w:ascii="宋体" w:hAnsi="宋体" w:eastAsia="宋体" w:cs="宋体"/>
          <w:b/>
          <w:sz w:val="21"/>
          <w:szCs w:val="21"/>
        </w:rPr>
      </w:pPr>
      <w:bookmarkStart w:id="57" w:name="_Hlk72422047"/>
      <w:r>
        <w:rPr>
          <w:rFonts w:hint="eastAsia" w:ascii="宋体" w:hAnsi="宋体" w:eastAsia="宋体" w:cs="宋体"/>
          <w:b/>
          <w:sz w:val="21"/>
          <w:szCs w:val="21"/>
        </w:rPr>
        <w:t>图</w:t>
      </w:r>
      <w:r>
        <w:rPr>
          <w:rFonts w:hint="eastAsia" w:ascii="宋体" w:hAnsi="宋体" w:eastAsia="宋体" w:cs="宋体"/>
          <w:b/>
          <w:sz w:val="21"/>
          <w:szCs w:val="21"/>
          <w:lang w:val="en-US" w:eastAsia="zh-CN"/>
        </w:rPr>
        <w:t>25</w:t>
      </w:r>
      <w:r>
        <w:rPr>
          <w:rFonts w:hint="eastAsia" w:ascii="宋体" w:hAnsi="宋体" w:eastAsia="宋体" w:cs="宋体"/>
          <w:b/>
          <w:sz w:val="21"/>
          <w:szCs w:val="21"/>
        </w:rPr>
        <w:t xml:space="preserve"> 2025年我国硫铁矿产量分布</w:t>
      </w:r>
    </w:p>
    <w:bookmarkEnd w:id="57"/>
    <w:p w14:paraId="0AEDDBEC">
      <w:pPr>
        <w:pageBreakBefore w:val="0"/>
        <w:kinsoku/>
        <w:wordWrap/>
        <w:overflowPunct/>
        <w:topLinePunct w:val="0"/>
        <w:autoSpaceDE/>
        <w:autoSpaceDN/>
        <w:bidi w:val="0"/>
        <w:spacing w:line="400" w:lineRule="exact"/>
        <w:ind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我国硫铁矿主要分布在广东、江西、安徽三个省份，2025年三省硫铁矿产量占全国总产量的比例分别为21.2%、12.9%、11.4%。</w:t>
      </w:r>
    </w:p>
    <w:p w14:paraId="367A364C">
      <w:pPr>
        <w:pageBreakBefore w:val="0"/>
        <w:kinsoku/>
        <w:wordWrap/>
        <w:overflowPunct/>
        <w:topLinePunct w:val="0"/>
        <w:autoSpaceDE/>
        <w:autoSpaceDN/>
        <w:bidi w:val="0"/>
        <w:spacing w:line="400" w:lineRule="exact"/>
        <w:ind w:firstLine="422" w:firstLineChars="200"/>
        <w:jc w:val="both"/>
        <w:textAlignment w:val="auto"/>
        <w:rPr>
          <w:rFonts w:hint="eastAsia" w:ascii="宋体" w:hAnsi="宋体" w:eastAsia="宋体" w:cs="宋体"/>
          <w:b/>
          <w:bCs/>
          <w:sz w:val="21"/>
          <w:szCs w:val="21"/>
        </w:rPr>
      </w:pPr>
      <w:bookmarkStart w:id="58" w:name="_Toc230102151"/>
      <w:r>
        <w:rPr>
          <w:rFonts w:hint="eastAsia" w:ascii="宋体" w:hAnsi="宋体" w:eastAsia="宋体" w:cs="宋体"/>
          <w:b/>
          <w:bCs/>
          <w:sz w:val="21"/>
          <w:szCs w:val="21"/>
        </w:rPr>
        <w:t>八、硫酸行业未来发展趋势</w:t>
      </w:r>
      <w:bookmarkEnd w:id="58"/>
    </w:p>
    <w:p w14:paraId="76C66B6C">
      <w:pPr>
        <w:pageBreakBefore w:val="0"/>
        <w:kinsoku/>
        <w:wordWrap/>
        <w:overflowPunct/>
        <w:topLinePunct w:val="0"/>
        <w:autoSpaceDE/>
        <w:autoSpaceDN/>
        <w:bidi w:val="0"/>
        <w:spacing w:line="400" w:lineRule="exact"/>
        <w:ind w:firstLine="422" w:firstLineChars="200"/>
        <w:jc w:val="both"/>
        <w:textAlignment w:val="auto"/>
        <w:rPr>
          <w:rFonts w:hint="eastAsia" w:ascii="宋体" w:hAnsi="宋体" w:eastAsia="宋体" w:cs="宋体"/>
          <w:b/>
          <w:bCs/>
          <w:sz w:val="21"/>
          <w:szCs w:val="21"/>
        </w:rPr>
      </w:pPr>
      <w:bookmarkStart w:id="59" w:name="_Toc230102152"/>
      <w:r>
        <w:rPr>
          <w:rFonts w:hint="eastAsia" w:ascii="宋体" w:hAnsi="宋体" w:eastAsia="宋体" w:cs="宋体"/>
          <w:b/>
          <w:bCs/>
          <w:sz w:val="21"/>
          <w:szCs w:val="21"/>
        </w:rPr>
        <w:t>1.硫黄供需形势趋紧 硫资源价值迎来重估</w:t>
      </w:r>
      <w:bookmarkEnd w:id="59"/>
    </w:p>
    <w:p w14:paraId="77C1AA30">
      <w:pPr>
        <w:pageBreakBefore w:val="0"/>
        <w:kinsoku/>
        <w:wordWrap/>
        <w:overflowPunct/>
        <w:topLinePunct w:val="0"/>
        <w:autoSpaceDE/>
        <w:autoSpaceDN/>
        <w:bidi w:val="0"/>
        <w:spacing w:line="400" w:lineRule="exact"/>
        <w:ind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全球硫资源供应结构中，硫黄占据三分之二，是最核心的硫资源品种。硫黄是石油炼化和天然气加工的副产物，石油炼化副产硫黄占全球硫黄总产量的65-70%；近年来，随着碳排放相关政策在全球范围内的推进，石油炼化行业即将迎来增长瓶颈，其副产硫黄产量也将随之迎来增长瓶颈；而硫资源的另外两个主要品种——有色金属矿伴生硫和硫铁矿难有明显增幅，因此硫资源的整体供应不会再出现明显增长。但硫资源的需求在印尼湿法镍冶炼、摩洛哥磷化工、以及我国磷酸铁锂等板块快速发展的带动下，还有明显增长，据协会初步统计，未来三年，全球硫资源需求量增幅超过1000万吨。总体来看，硫资源的供需形势在未来几年内将处于紧张态势，供需的趋紧将催动硫资源的价值重估。</w:t>
      </w:r>
    </w:p>
    <w:p w14:paraId="368450D0">
      <w:pPr>
        <w:pageBreakBefore w:val="0"/>
        <w:kinsoku/>
        <w:wordWrap/>
        <w:overflowPunct/>
        <w:topLinePunct w:val="0"/>
        <w:autoSpaceDE/>
        <w:autoSpaceDN/>
        <w:bidi w:val="0"/>
        <w:spacing w:line="400" w:lineRule="exact"/>
        <w:ind w:firstLine="422" w:firstLineChars="200"/>
        <w:jc w:val="both"/>
        <w:textAlignment w:val="auto"/>
        <w:rPr>
          <w:rFonts w:hint="eastAsia" w:ascii="宋体" w:hAnsi="宋体" w:eastAsia="宋体" w:cs="宋体"/>
          <w:b/>
          <w:bCs/>
          <w:sz w:val="21"/>
          <w:szCs w:val="21"/>
        </w:rPr>
      </w:pPr>
      <w:bookmarkStart w:id="60" w:name="_Toc230102153"/>
      <w:r>
        <w:rPr>
          <w:rFonts w:hint="eastAsia" w:ascii="宋体" w:hAnsi="宋体" w:eastAsia="宋体" w:cs="宋体"/>
          <w:b/>
          <w:bCs/>
          <w:sz w:val="21"/>
          <w:szCs w:val="21"/>
        </w:rPr>
        <w:t>2.我国硫资源供应结构和需求结构将快速调整</w:t>
      </w:r>
      <w:bookmarkEnd w:id="60"/>
    </w:p>
    <w:p w14:paraId="6CC7DC18">
      <w:pPr>
        <w:pageBreakBefore w:val="0"/>
        <w:kinsoku/>
        <w:wordWrap/>
        <w:overflowPunct/>
        <w:topLinePunct w:val="0"/>
        <w:autoSpaceDE/>
        <w:autoSpaceDN/>
        <w:bidi w:val="0"/>
        <w:spacing w:line="400" w:lineRule="exact"/>
        <w:ind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全球硫资源跨国贸易量总计约4500万吨，其中硫黄占比超过80%，而我国有近四分之一的硫资源是进口硫黄，在全球硫资源供需日益趋紧的态势下，我国进口硫黄环节将面临激烈的竞争，预计我国硫黄进口量将出现明显下降。除此之外，我国每年约90%的石油来自进口，其中约40%来自中东，在中东局势未明朗之前，我国石油进口将面临重重困难，国内石油炼化副产硫黄产量也将随之下降。我国硫资源的供应结构中，硫黄占比预计将出现明显下降。硫黄造成的硫资源供应缺口预计将逐渐由硫铁矿、冶炼酸和磷石膏制酸补充。</w:t>
      </w:r>
    </w:p>
    <w:p w14:paraId="170851A6">
      <w:pPr>
        <w:pageBreakBefore w:val="0"/>
        <w:kinsoku/>
        <w:wordWrap/>
        <w:overflowPunct/>
        <w:topLinePunct w:val="0"/>
        <w:autoSpaceDE/>
        <w:autoSpaceDN/>
        <w:bidi w:val="0"/>
        <w:spacing w:line="400" w:lineRule="exact"/>
        <w:ind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需求方面，由于硫资源供应出现缺口，价格大幅上涨，下游行业中成本传导停滞的行业将被迫减产，成本传导顺畅的新兴行业对硫资源的需求将继续上升。预计磷酸铁锂、净化磷酸等行业在需求结构中占比将逐渐增大，磷复肥、钛白粉、氢氟酸等行业对硫资源的需求将出现下降。</w:t>
      </w:r>
    </w:p>
    <w:p w14:paraId="5FB70D6A">
      <w:pPr>
        <w:pageBreakBefore w:val="0"/>
        <w:kinsoku/>
        <w:wordWrap/>
        <w:overflowPunct/>
        <w:topLinePunct w:val="0"/>
        <w:autoSpaceDE/>
        <w:autoSpaceDN/>
        <w:bidi w:val="0"/>
        <w:spacing w:line="400" w:lineRule="exact"/>
        <w:ind w:firstLine="422" w:firstLineChars="200"/>
        <w:jc w:val="both"/>
        <w:textAlignment w:val="auto"/>
        <w:rPr>
          <w:rFonts w:hint="eastAsia" w:ascii="宋体" w:hAnsi="宋体" w:eastAsia="宋体" w:cs="宋体"/>
          <w:b/>
          <w:bCs/>
          <w:sz w:val="21"/>
          <w:szCs w:val="21"/>
        </w:rPr>
      </w:pPr>
      <w:bookmarkStart w:id="61" w:name="_Toc230102154"/>
      <w:r>
        <w:rPr>
          <w:rFonts w:hint="eastAsia" w:ascii="宋体" w:hAnsi="宋体" w:eastAsia="宋体" w:cs="宋体"/>
          <w:b/>
          <w:bCs/>
          <w:sz w:val="21"/>
          <w:szCs w:val="21"/>
        </w:rPr>
        <w:t>3.含硫废物资源化利用技术将迎来快速发展</w:t>
      </w:r>
      <w:bookmarkEnd w:id="61"/>
    </w:p>
    <w:p w14:paraId="43F8A5D8">
      <w:pPr>
        <w:pageBreakBefore w:val="0"/>
        <w:kinsoku/>
        <w:wordWrap/>
        <w:overflowPunct/>
        <w:topLinePunct w:val="0"/>
        <w:autoSpaceDE/>
        <w:autoSpaceDN/>
        <w:bidi w:val="0"/>
        <w:spacing w:line="400" w:lineRule="exact"/>
        <w:ind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随着硫资源价值的大幅提升，含硫废物资源化利用技术将迎来快速发展。</w:t>
      </w:r>
    </w:p>
    <w:p w14:paraId="1BE6DA24">
      <w:pPr>
        <w:pageBreakBefore w:val="0"/>
        <w:kinsoku/>
        <w:wordWrap/>
        <w:overflowPunct/>
        <w:topLinePunct w:val="0"/>
        <w:autoSpaceDE/>
        <w:autoSpaceDN/>
        <w:bidi w:val="0"/>
        <w:spacing w:line="400" w:lineRule="exact"/>
        <w:ind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含硫固废方面，磷石膏制硫酸联产水泥技术已经进入了快速发展期，据协会统计，目前已经立项的项目涉及硫酸产能超过700万吨，再加上计划立项的项目，总计涉及硫酸产能超过1300万吨。除磷石膏之外，氟石膏、钛石膏、脱硫石膏的资源化利用都有发展潜力。</w:t>
      </w:r>
    </w:p>
    <w:p w14:paraId="101E8D57">
      <w:pPr>
        <w:pageBreakBefore w:val="0"/>
        <w:kinsoku/>
        <w:wordWrap/>
        <w:overflowPunct/>
        <w:topLinePunct w:val="0"/>
        <w:autoSpaceDE/>
        <w:autoSpaceDN/>
        <w:bidi w:val="0"/>
        <w:spacing w:line="400" w:lineRule="exact"/>
        <w:ind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含硫废水方面，利用硫铁矿制酸装置和磷石膏制酸装置高温裂解废硫酸再生产工业硫酸技术已经得到利用。</w:t>
      </w:r>
    </w:p>
    <w:p w14:paraId="02A3EC87">
      <w:pPr>
        <w:pageBreakBefore w:val="0"/>
        <w:kinsoku/>
        <w:wordWrap/>
        <w:overflowPunct/>
        <w:topLinePunct w:val="0"/>
        <w:autoSpaceDE/>
        <w:autoSpaceDN/>
        <w:bidi w:val="0"/>
        <w:spacing w:line="400" w:lineRule="exact"/>
        <w:ind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含硫废气方面，我国每年工业废气中的二氧化硫产生量超过2000万吨，最终排放量在200万吨左右，如果工业废气中的二氧化硫都通过资源化技术回收再利用，将为我国提供大量的硫资源。</w:t>
      </w:r>
    </w:p>
    <w:p w14:paraId="73AC54B8">
      <w:pPr>
        <w:pageBreakBefore w:val="0"/>
        <w:kinsoku/>
        <w:wordWrap/>
        <w:overflowPunct/>
        <w:topLinePunct w:val="0"/>
        <w:autoSpaceDE/>
        <w:autoSpaceDN/>
        <w:bidi w:val="0"/>
        <w:spacing w:line="400" w:lineRule="exact"/>
        <w:ind w:firstLine="422" w:firstLineChars="200"/>
        <w:jc w:val="both"/>
        <w:textAlignment w:val="auto"/>
        <w:rPr>
          <w:rFonts w:hint="eastAsia" w:ascii="宋体" w:hAnsi="宋体" w:eastAsia="宋体" w:cs="宋体"/>
          <w:b/>
          <w:bCs/>
          <w:sz w:val="21"/>
          <w:szCs w:val="21"/>
        </w:rPr>
      </w:pPr>
      <w:bookmarkStart w:id="62" w:name="_Toc230102155"/>
      <w:r>
        <w:rPr>
          <w:rFonts w:hint="eastAsia" w:ascii="宋体" w:hAnsi="宋体" w:eastAsia="宋体" w:cs="宋体"/>
          <w:b/>
          <w:bCs/>
          <w:sz w:val="21"/>
          <w:szCs w:val="21"/>
        </w:rPr>
        <w:t>4.硫资源替代方案出现发展潜力</w:t>
      </w:r>
      <w:bookmarkEnd w:id="62"/>
    </w:p>
    <w:p w14:paraId="4FF6092E">
      <w:pPr>
        <w:pageBreakBefore w:val="0"/>
        <w:kinsoku/>
        <w:wordWrap/>
        <w:overflowPunct/>
        <w:topLinePunct w:val="0"/>
        <w:autoSpaceDE/>
        <w:autoSpaceDN/>
        <w:bidi w:val="0"/>
        <w:spacing w:line="400" w:lineRule="exact"/>
        <w:ind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由于硫资源供应紧缺，价格高企，依赖硫资源的技术将出现明显的成本压力，而一些能替代硫资源的技术方案将因为经济性而出现发展潜力。热法磷酸、硝酸磷肥、氯化法钛白等技术预计会在所处行业占据更大比重。</w:t>
      </w:r>
    </w:p>
    <w:p w14:paraId="0A580392">
      <w:pPr>
        <w:pageBreakBefore w:val="0"/>
        <w:kinsoku/>
        <w:wordWrap/>
        <w:overflowPunct/>
        <w:topLinePunct w:val="0"/>
        <w:autoSpaceDE/>
        <w:autoSpaceDN/>
        <w:bidi w:val="0"/>
        <w:spacing w:line="400" w:lineRule="exact"/>
        <w:ind w:firstLine="422" w:firstLineChars="200"/>
        <w:jc w:val="both"/>
        <w:textAlignment w:val="auto"/>
        <w:rPr>
          <w:rFonts w:hint="eastAsia" w:ascii="宋体" w:hAnsi="宋体" w:eastAsia="宋体" w:cs="宋体"/>
          <w:b/>
          <w:bCs/>
          <w:sz w:val="21"/>
          <w:szCs w:val="21"/>
        </w:rPr>
      </w:pPr>
      <w:bookmarkStart w:id="63" w:name="_Toc230102156"/>
      <w:r>
        <w:rPr>
          <w:rFonts w:hint="eastAsia" w:ascii="宋体" w:hAnsi="宋体" w:eastAsia="宋体" w:cs="宋体"/>
          <w:b/>
          <w:bCs/>
          <w:sz w:val="21"/>
          <w:szCs w:val="21"/>
        </w:rPr>
        <w:t>5.我国硫酸市场将逐渐从区域性分化市场向全国性统一市场过渡</w:t>
      </w:r>
      <w:bookmarkEnd w:id="63"/>
    </w:p>
    <w:p w14:paraId="1B5C827A">
      <w:pPr>
        <w:pageBreakBefore w:val="0"/>
        <w:kinsoku/>
        <w:wordWrap/>
        <w:overflowPunct/>
        <w:topLinePunct w:val="0"/>
        <w:autoSpaceDE/>
        <w:autoSpaceDN/>
        <w:bidi w:val="0"/>
        <w:spacing w:line="400" w:lineRule="exact"/>
        <w:ind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过去的硫酸价格长期保持低位，如果运输距离过远，会导致运输成本高于出厂价格，因此，过去的硫酸销售存在销售半径，一般不会销往200公里以外的地区，各地区因各自的供需形势差异，存在明显的价格差。但硫酸价格涨至如今的高位后，能覆盖的运输成本较以往明显上升，只要地区之间存在明显价格差，就可以实现产销对接。超远距离的汽运、江海联运、公铁联运等运输方式将不断发展，促进我国硫酸市场从区域性分化市场向全国性统一市场过渡。</w:t>
      </w:r>
    </w:p>
    <w:p w14:paraId="6AAD13CE">
      <w:pPr>
        <w:rPr>
          <w:rFonts w:hint="eastAsia"/>
        </w:rPr>
      </w:pPr>
    </w:p>
    <w:p w14:paraId="4335E17F">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lang w:val="en-US" w:eastAsia="zh-CN"/>
        </w:rPr>
      </w:pPr>
    </w:p>
    <w:sectPr>
      <w:pgSz w:w="11906" w:h="16838"/>
      <w:pgMar w:top="1814" w:right="1587" w:bottom="170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华文楷体">
    <w:panose1 w:val="02010600040101010101"/>
    <w:charset w:val="86"/>
    <w:family w:val="auto"/>
    <w:pitch w:val="default"/>
    <w:sig w:usb0="00000287" w:usb1="080F0000" w:usb2="00000000" w:usb3="00000000" w:csb0="0004009F" w:csb1="DFD70000"/>
  </w:font>
  <w:font w:name="隶书">
    <w:panose1 w:val="0201050906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c5ZmMwZTNkY2FjMjU1Y2Y4ZTlkNzhjNmI4MDEyNjcifQ=="/>
  </w:docVars>
  <w:rsids>
    <w:rsidRoot w:val="00DD4CC1"/>
    <w:rsid w:val="00036B5E"/>
    <w:rsid w:val="00047FC0"/>
    <w:rsid w:val="00060599"/>
    <w:rsid w:val="0008730F"/>
    <w:rsid w:val="000A4D30"/>
    <w:rsid w:val="001570A5"/>
    <w:rsid w:val="001653DA"/>
    <w:rsid w:val="00170655"/>
    <w:rsid w:val="001F16B8"/>
    <w:rsid w:val="001F268C"/>
    <w:rsid w:val="00205F95"/>
    <w:rsid w:val="00223CAE"/>
    <w:rsid w:val="00252BF1"/>
    <w:rsid w:val="00264F57"/>
    <w:rsid w:val="002A2FE8"/>
    <w:rsid w:val="002A6E7F"/>
    <w:rsid w:val="002D3AD9"/>
    <w:rsid w:val="0032324D"/>
    <w:rsid w:val="00326DED"/>
    <w:rsid w:val="00452666"/>
    <w:rsid w:val="0046021A"/>
    <w:rsid w:val="00472F07"/>
    <w:rsid w:val="00495E28"/>
    <w:rsid w:val="004A7308"/>
    <w:rsid w:val="004B658B"/>
    <w:rsid w:val="004E5974"/>
    <w:rsid w:val="004E639D"/>
    <w:rsid w:val="0052555F"/>
    <w:rsid w:val="00550EFD"/>
    <w:rsid w:val="005A641B"/>
    <w:rsid w:val="005B2031"/>
    <w:rsid w:val="006054C1"/>
    <w:rsid w:val="006278D9"/>
    <w:rsid w:val="006525A5"/>
    <w:rsid w:val="006B4EF3"/>
    <w:rsid w:val="006B523C"/>
    <w:rsid w:val="006C7D50"/>
    <w:rsid w:val="00704818"/>
    <w:rsid w:val="00735E72"/>
    <w:rsid w:val="00756BF6"/>
    <w:rsid w:val="007958E0"/>
    <w:rsid w:val="007A04D9"/>
    <w:rsid w:val="007C2153"/>
    <w:rsid w:val="007D0764"/>
    <w:rsid w:val="007F00BC"/>
    <w:rsid w:val="00844F2C"/>
    <w:rsid w:val="00852987"/>
    <w:rsid w:val="0087425D"/>
    <w:rsid w:val="00874940"/>
    <w:rsid w:val="009168ED"/>
    <w:rsid w:val="0093495B"/>
    <w:rsid w:val="0094356F"/>
    <w:rsid w:val="009819FE"/>
    <w:rsid w:val="00987F1F"/>
    <w:rsid w:val="00A0752B"/>
    <w:rsid w:val="00A1502F"/>
    <w:rsid w:val="00A3470B"/>
    <w:rsid w:val="00A633AE"/>
    <w:rsid w:val="00A81B9E"/>
    <w:rsid w:val="00AA011A"/>
    <w:rsid w:val="00AD6D59"/>
    <w:rsid w:val="00B05911"/>
    <w:rsid w:val="00B226D2"/>
    <w:rsid w:val="00B86F3C"/>
    <w:rsid w:val="00BD25C3"/>
    <w:rsid w:val="00BF5402"/>
    <w:rsid w:val="00C31229"/>
    <w:rsid w:val="00C76433"/>
    <w:rsid w:val="00CF58F8"/>
    <w:rsid w:val="00D203A8"/>
    <w:rsid w:val="00D36A6E"/>
    <w:rsid w:val="00D829F0"/>
    <w:rsid w:val="00DD4CC1"/>
    <w:rsid w:val="00DE0390"/>
    <w:rsid w:val="00DF0139"/>
    <w:rsid w:val="00E52C97"/>
    <w:rsid w:val="00E67BF2"/>
    <w:rsid w:val="00EC1DD6"/>
    <w:rsid w:val="00ED67A0"/>
    <w:rsid w:val="00F153FF"/>
    <w:rsid w:val="00F22786"/>
    <w:rsid w:val="00F834FB"/>
    <w:rsid w:val="00F9257D"/>
    <w:rsid w:val="00FB3EEC"/>
    <w:rsid w:val="00FD2258"/>
    <w:rsid w:val="01520363"/>
    <w:rsid w:val="01BE7323"/>
    <w:rsid w:val="01C963F3"/>
    <w:rsid w:val="01DE1C5C"/>
    <w:rsid w:val="02203B3A"/>
    <w:rsid w:val="02B86B51"/>
    <w:rsid w:val="02BF3353"/>
    <w:rsid w:val="03304250"/>
    <w:rsid w:val="0374238F"/>
    <w:rsid w:val="03A5079A"/>
    <w:rsid w:val="03C50E3C"/>
    <w:rsid w:val="03C527A5"/>
    <w:rsid w:val="048748A1"/>
    <w:rsid w:val="04CC1D57"/>
    <w:rsid w:val="04DC643E"/>
    <w:rsid w:val="056106F1"/>
    <w:rsid w:val="05A21435"/>
    <w:rsid w:val="05AE130F"/>
    <w:rsid w:val="05FB3670"/>
    <w:rsid w:val="06112117"/>
    <w:rsid w:val="062077BC"/>
    <w:rsid w:val="065F10D4"/>
    <w:rsid w:val="0730481F"/>
    <w:rsid w:val="076E5F7E"/>
    <w:rsid w:val="07B471FE"/>
    <w:rsid w:val="07C05BA3"/>
    <w:rsid w:val="07E3246F"/>
    <w:rsid w:val="07F7358F"/>
    <w:rsid w:val="08564759"/>
    <w:rsid w:val="08BA0844"/>
    <w:rsid w:val="091A7E4E"/>
    <w:rsid w:val="09271C52"/>
    <w:rsid w:val="09931095"/>
    <w:rsid w:val="09F00295"/>
    <w:rsid w:val="0A4505E1"/>
    <w:rsid w:val="0A4B20AA"/>
    <w:rsid w:val="0AEE6ECB"/>
    <w:rsid w:val="0AFF2E86"/>
    <w:rsid w:val="0B1A00CC"/>
    <w:rsid w:val="0B664CB3"/>
    <w:rsid w:val="0C0E77A3"/>
    <w:rsid w:val="0C2B45A8"/>
    <w:rsid w:val="0C580AA0"/>
    <w:rsid w:val="0C8E44C1"/>
    <w:rsid w:val="0CDE6ACB"/>
    <w:rsid w:val="0CE82491"/>
    <w:rsid w:val="0CF56428"/>
    <w:rsid w:val="0D525F6F"/>
    <w:rsid w:val="0D731909"/>
    <w:rsid w:val="0DA11FD2"/>
    <w:rsid w:val="0E470192"/>
    <w:rsid w:val="0E5352AC"/>
    <w:rsid w:val="0E792F4F"/>
    <w:rsid w:val="0EC8358F"/>
    <w:rsid w:val="0F4C0300"/>
    <w:rsid w:val="0F543075"/>
    <w:rsid w:val="0FEE51C5"/>
    <w:rsid w:val="0FEF171B"/>
    <w:rsid w:val="0FF00FEF"/>
    <w:rsid w:val="0FF705D0"/>
    <w:rsid w:val="102313C5"/>
    <w:rsid w:val="103C5A23"/>
    <w:rsid w:val="10523A58"/>
    <w:rsid w:val="10667503"/>
    <w:rsid w:val="108035FE"/>
    <w:rsid w:val="108F6A5A"/>
    <w:rsid w:val="10B85FB1"/>
    <w:rsid w:val="10BB15FD"/>
    <w:rsid w:val="10D34B99"/>
    <w:rsid w:val="111156C1"/>
    <w:rsid w:val="111B6540"/>
    <w:rsid w:val="11407D54"/>
    <w:rsid w:val="123F1DBA"/>
    <w:rsid w:val="12CF1390"/>
    <w:rsid w:val="12DB7D35"/>
    <w:rsid w:val="12E60488"/>
    <w:rsid w:val="13001868"/>
    <w:rsid w:val="132A2A6A"/>
    <w:rsid w:val="13CB5FFB"/>
    <w:rsid w:val="145D3907"/>
    <w:rsid w:val="148A7C64"/>
    <w:rsid w:val="14B4083D"/>
    <w:rsid w:val="156C2EC6"/>
    <w:rsid w:val="15C56B00"/>
    <w:rsid w:val="16132CB9"/>
    <w:rsid w:val="16233A22"/>
    <w:rsid w:val="16AD19E8"/>
    <w:rsid w:val="16B20DAC"/>
    <w:rsid w:val="16B25250"/>
    <w:rsid w:val="16B8213B"/>
    <w:rsid w:val="16D2144F"/>
    <w:rsid w:val="171A4BA4"/>
    <w:rsid w:val="17836BED"/>
    <w:rsid w:val="178C5AA1"/>
    <w:rsid w:val="17AD77C6"/>
    <w:rsid w:val="180933FC"/>
    <w:rsid w:val="185C6006"/>
    <w:rsid w:val="18616F2E"/>
    <w:rsid w:val="191221DB"/>
    <w:rsid w:val="19235F91"/>
    <w:rsid w:val="19800B64"/>
    <w:rsid w:val="19836A30"/>
    <w:rsid w:val="199944A6"/>
    <w:rsid w:val="19FD4A34"/>
    <w:rsid w:val="1A533F79"/>
    <w:rsid w:val="1A5A1E87"/>
    <w:rsid w:val="1B2F179A"/>
    <w:rsid w:val="1B6F3710"/>
    <w:rsid w:val="1C250273"/>
    <w:rsid w:val="1D01483C"/>
    <w:rsid w:val="1D5D57EA"/>
    <w:rsid w:val="1DF45440"/>
    <w:rsid w:val="1E171E3D"/>
    <w:rsid w:val="1E7A1446"/>
    <w:rsid w:val="1EBA2EF4"/>
    <w:rsid w:val="1EC41FC5"/>
    <w:rsid w:val="1EFE3E02"/>
    <w:rsid w:val="1F78690B"/>
    <w:rsid w:val="1FA40E26"/>
    <w:rsid w:val="20181E55"/>
    <w:rsid w:val="20200F8C"/>
    <w:rsid w:val="204B20BB"/>
    <w:rsid w:val="204F1D62"/>
    <w:rsid w:val="205C558B"/>
    <w:rsid w:val="205C7FDB"/>
    <w:rsid w:val="20A239B8"/>
    <w:rsid w:val="20CA763A"/>
    <w:rsid w:val="21294361"/>
    <w:rsid w:val="21661758"/>
    <w:rsid w:val="227635D6"/>
    <w:rsid w:val="22BA5BB9"/>
    <w:rsid w:val="230D784D"/>
    <w:rsid w:val="23B95F13"/>
    <w:rsid w:val="24174945"/>
    <w:rsid w:val="24212C83"/>
    <w:rsid w:val="244020ED"/>
    <w:rsid w:val="248B32E5"/>
    <w:rsid w:val="24B17D3C"/>
    <w:rsid w:val="24EE1B49"/>
    <w:rsid w:val="25867FD4"/>
    <w:rsid w:val="259C77F7"/>
    <w:rsid w:val="262A3A04"/>
    <w:rsid w:val="269C7383"/>
    <w:rsid w:val="26B66697"/>
    <w:rsid w:val="273D46C2"/>
    <w:rsid w:val="27435A51"/>
    <w:rsid w:val="27466F3A"/>
    <w:rsid w:val="27653C19"/>
    <w:rsid w:val="276F4A98"/>
    <w:rsid w:val="27C46B92"/>
    <w:rsid w:val="283B6E9A"/>
    <w:rsid w:val="28414686"/>
    <w:rsid w:val="287C746C"/>
    <w:rsid w:val="288D3427"/>
    <w:rsid w:val="28C3509B"/>
    <w:rsid w:val="28D44D60"/>
    <w:rsid w:val="29F55569"/>
    <w:rsid w:val="2A6D1762"/>
    <w:rsid w:val="2A9C2048"/>
    <w:rsid w:val="2AF37C49"/>
    <w:rsid w:val="2B5841C1"/>
    <w:rsid w:val="2C1A3224"/>
    <w:rsid w:val="2C5F332D"/>
    <w:rsid w:val="2CDC497D"/>
    <w:rsid w:val="2DA03BFD"/>
    <w:rsid w:val="2DA336ED"/>
    <w:rsid w:val="2DD438A6"/>
    <w:rsid w:val="2DD45655"/>
    <w:rsid w:val="2E7221A8"/>
    <w:rsid w:val="2EC67693"/>
    <w:rsid w:val="2EE30245"/>
    <w:rsid w:val="2F087CAC"/>
    <w:rsid w:val="2F0E4B96"/>
    <w:rsid w:val="2F1A353B"/>
    <w:rsid w:val="2F1F6DA3"/>
    <w:rsid w:val="2F397E65"/>
    <w:rsid w:val="2F620882"/>
    <w:rsid w:val="2F633134"/>
    <w:rsid w:val="2F882B9B"/>
    <w:rsid w:val="2FA86D99"/>
    <w:rsid w:val="312F3756"/>
    <w:rsid w:val="31496359"/>
    <w:rsid w:val="315E0057"/>
    <w:rsid w:val="318D4498"/>
    <w:rsid w:val="3199108F"/>
    <w:rsid w:val="319F16AA"/>
    <w:rsid w:val="31CC4FC0"/>
    <w:rsid w:val="31F167D5"/>
    <w:rsid w:val="3216448E"/>
    <w:rsid w:val="321D581C"/>
    <w:rsid w:val="323963CE"/>
    <w:rsid w:val="3273368E"/>
    <w:rsid w:val="32963820"/>
    <w:rsid w:val="32DE73FD"/>
    <w:rsid w:val="32E20814"/>
    <w:rsid w:val="337771AE"/>
    <w:rsid w:val="33F94067"/>
    <w:rsid w:val="34480B4A"/>
    <w:rsid w:val="34821AD6"/>
    <w:rsid w:val="35A52FD0"/>
    <w:rsid w:val="35D501BC"/>
    <w:rsid w:val="36407D2B"/>
    <w:rsid w:val="36BE3BE8"/>
    <w:rsid w:val="36DA26A7"/>
    <w:rsid w:val="36DB5CA6"/>
    <w:rsid w:val="37227431"/>
    <w:rsid w:val="3756532C"/>
    <w:rsid w:val="37677539"/>
    <w:rsid w:val="37B01725"/>
    <w:rsid w:val="38061044"/>
    <w:rsid w:val="381C3783"/>
    <w:rsid w:val="389E342F"/>
    <w:rsid w:val="38C5276A"/>
    <w:rsid w:val="39783C80"/>
    <w:rsid w:val="399551B1"/>
    <w:rsid w:val="39D619B3"/>
    <w:rsid w:val="3A445910"/>
    <w:rsid w:val="3A557B1D"/>
    <w:rsid w:val="3A726921"/>
    <w:rsid w:val="3A765FE2"/>
    <w:rsid w:val="3B653D90"/>
    <w:rsid w:val="3B7D732B"/>
    <w:rsid w:val="3BAE3989"/>
    <w:rsid w:val="3BCC3E0F"/>
    <w:rsid w:val="3BD66A3C"/>
    <w:rsid w:val="3C424796"/>
    <w:rsid w:val="3CC044ED"/>
    <w:rsid w:val="3CC25530"/>
    <w:rsid w:val="3CC52D38"/>
    <w:rsid w:val="3CD13DD3"/>
    <w:rsid w:val="3D0715A3"/>
    <w:rsid w:val="3DA212CB"/>
    <w:rsid w:val="3DBB238D"/>
    <w:rsid w:val="3DBD6105"/>
    <w:rsid w:val="3E4405D4"/>
    <w:rsid w:val="3E9C5D1B"/>
    <w:rsid w:val="3F375A43"/>
    <w:rsid w:val="3FA4757D"/>
    <w:rsid w:val="3FB6105E"/>
    <w:rsid w:val="3FE444E6"/>
    <w:rsid w:val="40583EC3"/>
    <w:rsid w:val="40642868"/>
    <w:rsid w:val="407A652F"/>
    <w:rsid w:val="40923879"/>
    <w:rsid w:val="410F592B"/>
    <w:rsid w:val="411424E0"/>
    <w:rsid w:val="41641264"/>
    <w:rsid w:val="41700BEB"/>
    <w:rsid w:val="426C3C56"/>
    <w:rsid w:val="42786A9F"/>
    <w:rsid w:val="42BC1743"/>
    <w:rsid w:val="42EE53FF"/>
    <w:rsid w:val="43E4263E"/>
    <w:rsid w:val="45554E75"/>
    <w:rsid w:val="459D60E3"/>
    <w:rsid w:val="45B70627"/>
    <w:rsid w:val="45CA5863"/>
    <w:rsid w:val="45E5444B"/>
    <w:rsid w:val="46362EF9"/>
    <w:rsid w:val="465515D1"/>
    <w:rsid w:val="468E4AE3"/>
    <w:rsid w:val="46F54E2D"/>
    <w:rsid w:val="46FD57C4"/>
    <w:rsid w:val="47925F0D"/>
    <w:rsid w:val="47A143DA"/>
    <w:rsid w:val="47E81E53"/>
    <w:rsid w:val="48A028AB"/>
    <w:rsid w:val="48B545A9"/>
    <w:rsid w:val="495C0DBE"/>
    <w:rsid w:val="49CB1BAA"/>
    <w:rsid w:val="4A070E34"/>
    <w:rsid w:val="4A4F4589"/>
    <w:rsid w:val="4AB60164"/>
    <w:rsid w:val="4B8E06C7"/>
    <w:rsid w:val="4C934BC0"/>
    <w:rsid w:val="4CFB09F8"/>
    <w:rsid w:val="4D057181"/>
    <w:rsid w:val="4D447CA9"/>
    <w:rsid w:val="4D5123C6"/>
    <w:rsid w:val="4D6B792C"/>
    <w:rsid w:val="4DA16EA9"/>
    <w:rsid w:val="4DDA060D"/>
    <w:rsid w:val="4DED1912"/>
    <w:rsid w:val="4E015B9A"/>
    <w:rsid w:val="4E257ADB"/>
    <w:rsid w:val="4E353A96"/>
    <w:rsid w:val="4EAD187E"/>
    <w:rsid w:val="4EB175C0"/>
    <w:rsid w:val="4EB62E28"/>
    <w:rsid w:val="4F0911AA"/>
    <w:rsid w:val="4F78309C"/>
    <w:rsid w:val="4F7E394E"/>
    <w:rsid w:val="50A20D13"/>
    <w:rsid w:val="50AD3DB7"/>
    <w:rsid w:val="50AF7B2F"/>
    <w:rsid w:val="50B02F71"/>
    <w:rsid w:val="50C26CF2"/>
    <w:rsid w:val="50EC0D83"/>
    <w:rsid w:val="50FE0CB7"/>
    <w:rsid w:val="512D188F"/>
    <w:rsid w:val="51363DAD"/>
    <w:rsid w:val="513B5867"/>
    <w:rsid w:val="5144673C"/>
    <w:rsid w:val="519D207E"/>
    <w:rsid w:val="51EC090F"/>
    <w:rsid w:val="51FB00AC"/>
    <w:rsid w:val="52E57838"/>
    <w:rsid w:val="53277E51"/>
    <w:rsid w:val="542B3971"/>
    <w:rsid w:val="54335EE7"/>
    <w:rsid w:val="5463310B"/>
    <w:rsid w:val="54AF45A2"/>
    <w:rsid w:val="54C142D5"/>
    <w:rsid w:val="55254864"/>
    <w:rsid w:val="553C395C"/>
    <w:rsid w:val="55BA1450"/>
    <w:rsid w:val="56037691"/>
    <w:rsid w:val="56083D8A"/>
    <w:rsid w:val="56135E24"/>
    <w:rsid w:val="564017AC"/>
    <w:rsid w:val="567B0721"/>
    <w:rsid w:val="56F97D56"/>
    <w:rsid w:val="57081D47"/>
    <w:rsid w:val="57E97DCB"/>
    <w:rsid w:val="57EF1159"/>
    <w:rsid w:val="583059FA"/>
    <w:rsid w:val="5847689F"/>
    <w:rsid w:val="58532B2C"/>
    <w:rsid w:val="58984204"/>
    <w:rsid w:val="58C47EF0"/>
    <w:rsid w:val="59285798"/>
    <w:rsid w:val="596F60AE"/>
    <w:rsid w:val="5A2A0227"/>
    <w:rsid w:val="5A7B0A82"/>
    <w:rsid w:val="5B0311A3"/>
    <w:rsid w:val="5BB5218E"/>
    <w:rsid w:val="5BFE5E0F"/>
    <w:rsid w:val="5CAA564F"/>
    <w:rsid w:val="5E361890"/>
    <w:rsid w:val="5EDA046D"/>
    <w:rsid w:val="5EE237C6"/>
    <w:rsid w:val="5EFF7ED4"/>
    <w:rsid w:val="5F7679C4"/>
    <w:rsid w:val="5F7F2DC3"/>
    <w:rsid w:val="5FA6034F"/>
    <w:rsid w:val="5FBF1411"/>
    <w:rsid w:val="601A09BC"/>
    <w:rsid w:val="60395667"/>
    <w:rsid w:val="605B3830"/>
    <w:rsid w:val="60AA0313"/>
    <w:rsid w:val="60B70030"/>
    <w:rsid w:val="610D33E8"/>
    <w:rsid w:val="615E35D8"/>
    <w:rsid w:val="619568CD"/>
    <w:rsid w:val="61E67129"/>
    <w:rsid w:val="621A5025"/>
    <w:rsid w:val="62CC27C3"/>
    <w:rsid w:val="62CD2097"/>
    <w:rsid w:val="635A7DCF"/>
    <w:rsid w:val="637D586B"/>
    <w:rsid w:val="63872EA4"/>
    <w:rsid w:val="63F26259"/>
    <w:rsid w:val="64025D70"/>
    <w:rsid w:val="64061D04"/>
    <w:rsid w:val="640A365A"/>
    <w:rsid w:val="640E2967"/>
    <w:rsid w:val="64754794"/>
    <w:rsid w:val="64FD7B2B"/>
    <w:rsid w:val="657B402C"/>
    <w:rsid w:val="65C07C91"/>
    <w:rsid w:val="65F00576"/>
    <w:rsid w:val="66CA526B"/>
    <w:rsid w:val="67C12792"/>
    <w:rsid w:val="67DD0FCE"/>
    <w:rsid w:val="687436E1"/>
    <w:rsid w:val="687A681D"/>
    <w:rsid w:val="68D73C6F"/>
    <w:rsid w:val="690B56C7"/>
    <w:rsid w:val="69205616"/>
    <w:rsid w:val="696A4D66"/>
    <w:rsid w:val="69867965"/>
    <w:rsid w:val="699456BD"/>
    <w:rsid w:val="6A4E3ABD"/>
    <w:rsid w:val="6A9A31A7"/>
    <w:rsid w:val="6AD06BC8"/>
    <w:rsid w:val="6B3929BF"/>
    <w:rsid w:val="6B3D425E"/>
    <w:rsid w:val="6B431148"/>
    <w:rsid w:val="6B56531F"/>
    <w:rsid w:val="6B575C91"/>
    <w:rsid w:val="6BB8040C"/>
    <w:rsid w:val="6C5C6966"/>
    <w:rsid w:val="6C6E5E1A"/>
    <w:rsid w:val="6C8E2897"/>
    <w:rsid w:val="6CDF30F3"/>
    <w:rsid w:val="6D282CEC"/>
    <w:rsid w:val="6D921E65"/>
    <w:rsid w:val="6DF606F4"/>
    <w:rsid w:val="6E267136"/>
    <w:rsid w:val="6E2D67FA"/>
    <w:rsid w:val="6E6B2E90"/>
    <w:rsid w:val="6E6E0BD2"/>
    <w:rsid w:val="6E91041D"/>
    <w:rsid w:val="6ECB392F"/>
    <w:rsid w:val="6F562B93"/>
    <w:rsid w:val="6FA348AB"/>
    <w:rsid w:val="6FBB39A3"/>
    <w:rsid w:val="6FD23894"/>
    <w:rsid w:val="6FE23626"/>
    <w:rsid w:val="70383246"/>
    <w:rsid w:val="703D260A"/>
    <w:rsid w:val="7060279C"/>
    <w:rsid w:val="70626FA0"/>
    <w:rsid w:val="70741DA4"/>
    <w:rsid w:val="70756EB2"/>
    <w:rsid w:val="71A768D5"/>
    <w:rsid w:val="71E73078"/>
    <w:rsid w:val="7258197D"/>
    <w:rsid w:val="726C71D7"/>
    <w:rsid w:val="72C60FDD"/>
    <w:rsid w:val="72EB27F1"/>
    <w:rsid w:val="730241B0"/>
    <w:rsid w:val="7318110C"/>
    <w:rsid w:val="731A1328"/>
    <w:rsid w:val="73587D13"/>
    <w:rsid w:val="743B50B2"/>
    <w:rsid w:val="74BF5CE3"/>
    <w:rsid w:val="750977D2"/>
    <w:rsid w:val="75263FB5"/>
    <w:rsid w:val="75412ADE"/>
    <w:rsid w:val="75693EA1"/>
    <w:rsid w:val="75B25848"/>
    <w:rsid w:val="766528BB"/>
    <w:rsid w:val="768F268A"/>
    <w:rsid w:val="76C92E49"/>
    <w:rsid w:val="77617526"/>
    <w:rsid w:val="777A05E8"/>
    <w:rsid w:val="781A1483"/>
    <w:rsid w:val="781F0851"/>
    <w:rsid w:val="7820118F"/>
    <w:rsid w:val="782A7918"/>
    <w:rsid w:val="78B00E0E"/>
    <w:rsid w:val="78C94F9D"/>
    <w:rsid w:val="78FD502C"/>
    <w:rsid w:val="796450AB"/>
    <w:rsid w:val="79EB30D7"/>
    <w:rsid w:val="7A287E87"/>
    <w:rsid w:val="7A293F0A"/>
    <w:rsid w:val="7A5E24AA"/>
    <w:rsid w:val="7ACB4CB6"/>
    <w:rsid w:val="7B02692A"/>
    <w:rsid w:val="7B486307"/>
    <w:rsid w:val="7B5B603A"/>
    <w:rsid w:val="7B5C744A"/>
    <w:rsid w:val="7BA55C3B"/>
    <w:rsid w:val="7BD858DD"/>
    <w:rsid w:val="7BE9361F"/>
    <w:rsid w:val="7C6B49A3"/>
    <w:rsid w:val="7C765821"/>
    <w:rsid w:val="7C856E44"/>
    <w:rsid w:val="7CD24A22"/>
    <w:rsid w:val="7D366D5F"/>
    <w:rsid w:val="7DD722F0"/>
    <w:rsid w:val="7E32210A"/>
    <w:rsid w:val="7EB10D93"/>
    <w:rsid w:val="7EC87E8B"/>
    <w:rsid w:val="7EF70770"/>
    <w:rsid w:val="7F052E8D"/>
    <w:rsid w:val="7F270942"/>
    <w:rsid w:val="7F413799"/>
    <w:rsid w:val="7F480FCB"/>
    <w:rsid w:val="7F5D6825"/>
    <w:rsid w:val="7F671451"/>
    <w:rsid w:val="7F674918"/>
    <w:rsid w:val="7FB83A5B"/>
    <w:rsid w:val="7FBA3C77"/>
    <w:rsid w:val="7FEC7BA9"/>
    <w:rsid w:val="7FF645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0"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0"/>
    <w:qFormat/>
    <w:uiPriority w:val="0"/>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24"/>
    <w:autoRedefine/>
    <w:unhideWhenUsed/>
    <w:qFormat/>
    <w:uiPriority w:val="9"/>
    <w:pPr>
      <w:keepNext/>
      <w:keepLines/>
      <w:widowControl/>
      <w:adjustRightInd w:val="0"/>
      <w:snapToGrid w:val="0"/>
      <w:spacing w:line="360" w:lineRule="auto"/>
      <w:jc w:val="left"/>
      <w:outlineLvl w:val="1"/>
    </w:pPr>
    <w:rPr>
      <w:rFonts w:ascii="宋体" w:hAnsi="宋体" w:eastAsia="宋体" w:cs="宋体"/>
      <w:b/>
      <w:bCs/>
      <w:kern w:val="0"/>
      <w:sz w:val="28"/>
      <w:szCs w:val="28"/>
    </w:rPr>
  </w:style>
  <w:style w:type="paragraph" w:styleId="4">
    <w:name w:val="heading 3"/>
    <w:basedOn w:val="1"/>
    <w:next w:val="1"/>
    <w:link w:val="25"/>
    <w:autoRedefine/>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26"/>
    <w:autoRedefine/>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7"/>
    <w:basedOn w:val="1"/>
    <w:next w:val="1"/>
    <w:unhideWhenUsed/>
    <w:qFormat/>
    <w:uiPriority w:val="0"/>
    <w:pPr>
      <w:keepNext/>
      <w:keepLines/>
      <w:spacing w:before="260" w:after="120" w:line="320" w:lineRule="auto"/>
      <w:outlineLvl w:val="6"/>
    </w:pPr>
    <w:rPr>
      <w:rFonts w:ascii="Times New Roman" w:hAnsi="Times New Roman" w:eastAsia="楷体" w:cstheme="minorBidi"/>
      <w:b/>
      <w:bCs/>
      <w:sz w:val="24"/>
      <w:szCs w:val="24"/>
    </w:rPr>
  </w:style>
  <w:style w:type="character" w:default="1" w:styleId="19">
    <w:name w:val="Default Paragraph Font"/>
    <w:autoRedefine/>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7">
    <w:name w:val="Body Text"/>
    <w:basedOn w:val="1"/>
    <w:autoRedefine/>
    <w:qFormat/>
    <w:uiPriority w:val="0"/>
    <w:pPr>
      <w:spacing w:after="120" w:afterLines="0" w:afterAutospacing="0"/>
    </w:pPr>
  </w:style>
  <w:style w:type="paragraph" w:styleId="8">
    <w:name w:val="Body Text Indent"/>
    <w:basedOn w:val="1"/>
    <w:next w:val="9"/>
    <w:qFormat/>
    <w:uiPriority w:val="0"/>
    <w:pPr>
      <w:spacing w:after="120" w:afterLines="0" w:afterAutospacing="0"/>
      <w:ind w:left="420" w:leftChars="200"/>
    </w:pPr>
  </w:style>
  <w:style w:type="paragraph" w:customStyle="1" w:styleId="9">
    <w:name w:val="样式 正文文本缩进 + 行距: 1.5 倍行距"/>
    <w:basedOn w:val="1"/>
    <w:qFormat/>
    <w:uiPriority w:val="0"/>
    <w:pPr>
      <w:spacing w:after="120"/>
      <w:ind w:left="90" w:leftChars="32" w:firstLine="560"/>
    </w:pPr>
    <w:rPr>
      <w:rFonts w:cs="宋体"/>
    </w:rPr>
  </w:style>
  <w:style w:type="paragraph" w:styleId="10">
    <w:name w:val="footer"/>
    <w:basedOn w:val="1"/>
    <w:link w:val="29"/>
    <w:autoRedefine/>
    <w:unhideWhenUsed/>
    <w:qFormat/>
    <w:uiPriority w:val="99"/>
    <w:pPr>
      <w:tabs>
        <w:tab w:val="center" w:pos="4153"/>
        <w:tab w:val="right" w:pos="8306"/>
      </w:tabs>
      <w:snapToGrid w:val="0"/>
      <w:jc w:val="left"/>
    </w:pPr>
    <w:rPr>
      <w:sz w:val="18"/>
      <w:szCs w:val="18"/>
    </w:rPr>
  </w:style>
  <w:style w:type="paragraph" w:styleId="11">
    <w:name w:val="header"/>
    <w:basedOn w:val="1"/>
    <w:link w:val="28"/>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link w:val="31"/>
    <w:autoRedefine/>
    <w:qFormat/>
    <w:uiPriority w:val="0"/>
    <w:pPr>
      <w:spacing w:line="400" w:lineRule="exact"/>
      <w:jc w:val="center"/>
    </w:pPr>
    <w:rPr>
      <w:rFonts w:ascii="Calibri" w:hAnsi="Calibri" w:eastAsia="楷体" w:cs="Times New Roman"/>
      <w:b/>
      <w:bCs/>
      <w:kern w:val="28"/>
      <w:szCs w:val="32"/>
    </w:rPr>
  </w:style>
  <w:style w:type="paragraph" w:styleId="13">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4">
    <w:name w:val="Title"/>
    <w:basedOn w:val="5"/>
    <w:next w:val="1"/>
    <w:link w:val="27"/>
    <w:qFormat/>
    <w:uiPriority w:val="10"/>
    <w:pPr>
      <w:adjustRightInd w:val="0"/>
      <w:snapToGrid w:val="0"/>
      <w:spacing w:before="0" w:after="0" w:line="360" w:lineRule="auto"/>
      <w:jc w:val="center"/>
    </w:pPr>
    <w:rPr>
      <w:rFonts w:ascii="黑体" w:hAnsi="黑体" w:eastAsia="黑体" w:cs="黑体"/>
      <w:sz w:val="24"/>
      <w:szCs w:val="24"/>
    </w:rPr>
  </w:style>
  <w:style w:type="paragraph" w:styleId="15">
    <w:name w:val="Body Text First Indent"/>
    <w:basedOn w:val="7"/>
    <w:autoRedefine/>
    <w:qFormat/>
    <w:uiPriority w:val="0"/>
    <w:pPr>
      <w:ind w:firstLine="420" w:firstLineChars="100"/>
    </w:pPr>
  </w:style>
  <w:style w:type="paragraph" w:styleId="16">
    <w:name w:val="Body Text First Indent 2"/>
    <w:basedOn w:val="8"/>
    <w:next w:val="1"/>
    <w:qFormat/>
    <w:uiPriority w:val="0"/>
    <w:pPr>
      <w:ind w:firstLine="420" w:firstLineChars="200"/>
    </w:pPr>
  </w:style>
  <w:style w:type="table" w:styleId="18">
    <w:name w:val="Table Grid"/>
    <w:basedOn w:val="17"/>
    <w:autoRedefine/>
    <w:qFormat/>
    <w:uiPriority w:val="59"/>
    <w:rPr>
      <w:rFonts w:ascii="Calibri" w:hAnsi="Calibri" w:eastAsia="微软雅黑"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0">
    <w:name w:val="Strong"/>
    <w:basedOn w:val="19"/>
    <w:qFormat/>
    <w:uiPriority w:val="0"/>
    <w:rPr>
      <w:b/>
    </w:rPr>
  </w:style>
  <w:style w:type="character" w:styleId="21">
    <w:name w:val="Hyperlink"/>
    <w:basedOn w:val="19"/>
    <w:qFormat/>
    <w:uiPriority w:val="0"/>
    <w:rPr>
      <w:color w:val="0000FF"/>
      <w:u w:val="single"/>
    </w:rPr>
  </w:style>
  <w:style w:type="paragraph" w:customStyle="1" w:styleId="22">
    <w:name w:val="0正文"/>
    <w:basedOn w:val="1"/>
    <w:qFormat/>
    <w:uiPriority w:val="0"/>
    <w:pPr>
      <w:ind w:firstLine="480" w:firstLineChars="200"/>
    </w:pPr>
  </w:style>
  <w:style w:type="character" w:customStyle="1" w:styleId="23">
    <w:name w:val="标题 2 字符"/>
    <w:basedOn w:val="19"/>
    <w:autoRedefine/>
    <w:semiHidden/>
    <w:qFormat/>
    <w:uiPriority w:val="9"/>
    <w:rPr>
      <w:rFonts w:asciiTheme="majorHAnsi" w:hAnsiTheme="majorHAnsi" w:eastAsiaTheme="majorEastAsia" w:cstheme="majorBidi"/>
      <w:b/>
      <w:bCs/>
      <w:sz w:val="32"/>
      <w:szCs w:val="32"/>
    </w:rPr>
  </w:style>
  <w:style w:type="character" w:customStyle="1" w:styleId="24">
    <w:name w:val="标题 2 字符1"/>
    <w:link w:val="3"/>
    <w:autoRedefine/>
    <w:qFormat/>
    <w:uiPriority w:val="9"/>
    <w:rPr>
      <w:rFonts w:ascii="宋体" w:hAnsi="宋体" w:eastAsia="宋体" w:cs="宋体"/>
      <w:b/>
      <w:bCs/>
      <w:kern w:val="0"/>
      <w:sz w:val="28"/>
      <w:szCs w:val="28"/>
    </w:rPr>
  </w:style>
  <w:style w:type="character" w:customStyle="1" w:styleId="25">
    <w:name w:val="标题 3 字符"/>
    <w:basedOn w:val="19"/>
    <w:link w:val="4"/>
    <w:autoRedefine/>
    <w:semiHidden/>
    <w:qFormat/>
    <w:uiPriority w:val="9"/>
    <w:rPr>
      <w:b/>
      <w:bCs/>
      <w:sz w:val="32"/>
      <w:szCs w:val="32"/>
    </w:rPr>
  </w:style>
  <w:style w:type="character" w:customStyle="1" w:styleId="26">
    <w:name w:val="标题 4 字符"/>
    <w:basedOn w:val="19"/>
    <w:link w:val="5"/>
    <w:autoRedefine/>
    <w:semiHidden/>
    <w:qFormat/>
    <w:uiPriority w:val="9"/>
    <w:rPr>
      <w:rFonts w:asciiTheme="majorHAnsi" w:hAnsiTheme="majorHAnsi" w:eastAsiaTheme="majorEastAsia" w:cstheme="majorBidi"/>
      <w:b/>
      <w:bCs/>
      <w:sz w:val="28"/>
      <w:szCs w:val="28"/>
    </w:rPr>
  </w:style>
  <w:style w:type="character" w:customStyle="1" w:styleId="27">
    <w:name w:val="标题 字符"/>
    <w:basedOn w:val="19"/>
    <w:link w:val="14"/>
    <w:autoRedefine/>
    <w:qFormat/>
    <w:uiPriority w:val="10"/>
    <w:rPr>
      <w:rFonts w:ascii="黑体" w:hAnsi="黑体" w:eastAsia="黑体" w:cs="黑体"/>
      <w:b/>
      <w:bCs/>
      <w:sz w:val="24"/>
      <w:szCs w:val="24"/>
    </w:rPr>
  </w:style>
  <w:style w:type="character" w:customStyle="1" w:styleId="28">
    <w:name w:val="页眉 字符"/>
    <w:basedOn w:val="19"/>
    <w:link w:val="11"/>
    <w:autoRedefine/>
    <w:qFormat/>
    <w:uiPriority w:val="99"/>
    <w:rPr>
      <w:sz w:val="18"/>
      <w:szCs w:val="18"/>
    </w:rPr>
  </w:style>
  <w:style w:type="character" w:customStyle="1" w:styleId="29">
    <w:name w:val="页脚 字符"/>
    <w:basedOn w:val="19"/>
    <w:link w:val="10"/>
    <w:autoRedefine/>
    <w:qFormat/>
    <w:uiPriority w:val="99"/>
    <w:rPr>
      <w:sz w:val="18"/>
      <w:szCs w:val="18"/>
    </w:rPr>
  </w:style>
  <w:style w:type="character" w:customStyle="1" w:styleId="30">
    <w:name w:val="标题 1 字符"/>
    <w:basedOn w:val="19"/>
    <w:link w:val="2"/>
    <w:autoRedefine/>
    <w:qFormat/>
    <w:uiPriority w:val="0"/>
    <w:rPr>
      <w:rFonts w:ascii="Calibri" w:hAnsi="Calibri" w:eastAsia="宋体" w:cs="Times New Roman"/>
      <w:b/>
      <w:bCs/>
      <w:kern w:val="44"/>
      <w:sz w:val="44"/>
      <w:szCs w:val="44"/>
    </w:rPr>
  </w:style>
  <w:style w:type="character" w:customStyle="1" w:styleId="31">
    <w:name w:val="副标题 字符"/>
    <w:basedOn w:val="19"/>
    <w:link w:val="12"/>
    <w:autoRedefine/>
    <w:qFormat/>
    <w:uiPriority w:val="0"/>
    <w:rPr>
      <w:rFonts w:ascii="Calibri" w:hAnsi="Calibri" w:eastAsia="楷体" w:cs="Times New Roman"/>
      <w:b/>
      <w:bCs/>
      <w:kern w:val="28"/>
      <w:szCs w:val="32"/>
    </w:rPr>
  </w:style>
  <w:style w:type="paragraph" w:styleId="32">
    <w:name w:val="List Paragraph"/>
    <w:basedOn w:val="1"/>
    <w:autoRedefine/>
    <w:qFormat/>
    <w:uiPriority w:val="34"/>
    <w:pPr>
      <w:ind w:firstLine="420" w:firstLineChars="200"/>
    </w:pPr>
  </w:style>
  <w:style w:type="paragraph" w:customStyle="1" w:styleId="33">
    <w:name w:val="普通(网站)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4">
    <w:name w:val="普通(网站) Char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5">
    <w:name w:val="+正文"/>
    <w:basedOn w:val="1"/>
    <w:qFormat/>
    <w:uiPriority w:val="99"/>
    <w:pPr>
      <w:spacing w:line="360" w:lineRule="auto"/>
      <w:ind w:firstLine="200" w:firstLineChars="200"/>
    </w:pPr>
    <w:rPr>
      <w:rFonts w:ascii="Times New Roman" w:hAnsi="Times New Roman" w:cs="Times New Roman"/>
      <w:sz w:val="24"/>
      <w:szCs w:val="24"/>
    </w:rPr>
  </w:style>
  <w:style w:type="paragraph" w:customStyle="1" w:styleId="36">
    <w:name w:val="表格内容"/>
    <w:basedOn w:val="1"/>
    <w:qFormat/>
    <w:uiPriority w:val="99"/>
    <w:pPr>
      <w:widowControl/>
      <w:overflowPunct w:val="0"/>
      <w:autoSpaceDE w:val="0"/>
      <w:autoSpaceDN w:val="0"/>
      <w:adjustRightInd w:val="0"/>
      <w:jc w:val="center"/>
      <w:textAlignment w:val="baseline"/>
    </w:pPr>
    <w:rPr>
      <w:rFonts w:ascii="Times New Roman" w:hAnsi="Times New Roman" w:cs="Times New Roman"/>
      <w:kern w:val="0"/>
    </w:rPr>
  </w:style>
  <w:style w:type="paragraph" w:customStyle="1" w:styleId="37">
    <w:name w:val="表格内容-居中"/>
    <w:basedOn w:val="1"/>
    <w:qFormat/>
    <w:uiPriority w:val="99"/>
    <w:pPr>
      <w:widowControl/>
      <w:overflowPunct w:val="0"/>
      <w:autoSpaceDE w:val="0"/>
      <w:autoSpaceDN w:val="0"/>
      <w:adjustRightInd w:val="0"/>
      <w:spacing w:before="40" w:after="40" w:line="300" w:lineRule="exact"/>
      <w:jc w:val="center"/>
      <w:textAlignment w:val="baseline"/>
    </w:pPr>
    <w:rPr>
      <w:rFonts w:ascii="Times New Roman" w:hAnsi="Times New Roman" w:cs="Times New Roman"/>
      <w:kern w:val="0"/>
      <w:sz w:val="24"/>
      <w:szCs w:val="24"/>
    </w:rPr>
  </w:style>
  <w:style w:type="character" w:customStyle="1" w:styleId="38">
    <w:name w:val="font31"/>
    <w:basedOn w:val="19"/>
    <w:qFormat/>
    <w:uiPriority w:val="0"/>
    <w:rPr>
      <w:rFonts w:hint="eastAsia" w:ascii="华文楷体" w:hAnsi="华文楷体" w:eastAsia="华文楷体" w:cs="华文楷体"/>
      <w:color w:val="000000"/>
      <w:sz w:val="22"/>
      <w:szCs w:val="22"/>
      <w:u w:val="none"/>
      <w:vertAlign w:val="subscript"/>
    </w:rPr>
  </w:style>
  <w:style w:type="character" w:customStyle="1" w:styleId="39">
    <w:name w:val="font21"/>
    <w:basedOn w:val="19"/>
    <w:qFormat/>
    <w:uiPriority w:val="0"/>
    <w:rPr>
      <w:rFonts w:hint="eastAsia" w:ascii="华文楷体" w:hAnsi="华文楷体" w:eastAsia="华文楷体" w:cs="华文楷体"/>
      <w:color w:val="000000"/>
      <w:sz w:val="22"/>
      <w:szCs w:val="22"/>
      <w:u w:val="none"/>
    </w:rPr>
  </w:style>
  <w:style w:type="character" w:customStyle="1" w:styleId="40">
    <w:name w:val="font41"/>
    <w:basedOn w:val="19"/>
    <w:qFormat/>
    <w:uiPriority w:val="0"/>
    <w:rPr>
      <w:rFonts w:hint="eastAsia" w:ascii="华文楷体" w:hAnsi="华文楷体" w:eastAsia="华文楷体" w:cs="华文楷体"/>
      <w:color w:val="000000"/>
      <w:sz w:val="22"/>
      <w:szCs w:val="22"/>
      <w:u w:val="none"/>
      <w:vertAlign w:val="superscript"/>
    </w:rPr>
  </w:style>
  <w:style w:type="character" w:customStyle="1" w:styleId="41">
    <w:name w:val="font11"/>
    <w:basedOn w:val="19"/>
    <w:qFormat/>
    <w:uiPriority w:val="0"/>
    <w:rPr>
      <w:rFonts w:hint="eastAsia" w:ascii="华文楷体" w:hAnsi="华文楷体" w:eastAsia="华文楷体" w:cs="华文楷体"/>
      <w:color w:val="000000"/>
      <w:sz w:val="22"/>
      <w:szCs w:val="22"/>
      <w:u w:val="none"/>
    </w:rPr>
  </w:style>
  <w:style w:type="paragraph" w:customStyle="1" w:styleId="42">
    <w:name w:val="EndNote Bibliography"/>
    <w:basedOn w:val="1"/>
    <w:autoRedefine/>
    <w:qFormat/>
    <w:uiPriority w:val="0"/>
    <w:pPr>
      <w:ind w:firstLine="200" w:firstLineChars="200"/>
      <w:jc w:val="left"/>
    </w:pPr>
    <w:rPr>
      <w:sz w:val="20"/>
    </w:rPr>
  </w:style>
  <w:style w:type="paragraph" w:customStyle="1" w:styleId="43">
    <w:name w:val="列出段落1"/>
    <w:basedOn w:val="1"/>
    <w:qFormat/>
    <w:uiPriority w:val="34"/>
    <w:pPr>
      <w:ind w:firstLine="420" w:firstLineChars="200"/>
    </w:pPr>
  </w:style>
  <w:style w:type="paragraph" w:customStyle="1" w:styleId="44">
    <w:name w:val="正文文本1"/>
    <w:basedOn w:val="1"/>
    <w:qFormat/>
    <w:uiPriority w:val="0"/>
    <w:pPr>
      <w:shd w:val="clear" w:color="auto" w:fill="FFFFFF"/>
      <w:spacing w:line="610" w:lineRule="exact"/>
      <w:jc w:val="center"/>
    </w:pPr>
    <w:rPr>
      <w:rFonts w:ascii="宋体" w:hAnsi="宋体" w:eastAsia="宋体" w:cs="宋体"/>
      <w:sz w:val="28"/>
      <w:szCs w:val="2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emf"/><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9" Type="http://schemas.openxmlformats.org/officeDocument/2006/relationships/fontTable" Target="fontTable.xml"/><Relationship Id="rId28" Type="http://schemas.openxmlformats.org/officeDocument/2006/relationships/image" Target="media/image25.emf"/><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16</Pages>
  <Words>339</Words>
  <Characters>352</Characters>
  <Lines>35</Lines>
  <Paragraphs>9</Paragraphs>
  <TotalTime>7</TotalTime>
  <ScaleCrop>false</ScaleCrop>
  <LinksUpToDate>false</LinksUpToDate>
  <CharactersWithSpaces>358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2022-09-27T07:43:00Z</dcterms:created>
  <dc:creator>Liao KangCheng</dc:creator>
  <cp:lastModifiedBy>白海丹</cp:lastModifiedBy>
  <dcterms:modified xsi:type="dcterms:W3CDTF">2026-06-09T09:20:22Z</dcterms:modified>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012170A0420347A89154D3512890171D_12</vt:lpwstr>
  </property>
  <property fmtid="{D5CDD505-2E9C-101B-9397-08002B2CF9AE}" pid="4" name="KSOTemplateDocerSaveRecord">
    <vt:lpwstr>eyJoZGlkIjoiYjVlOTE0MGRkN2E0MWU0MDEyNjJkNTdlYmU3ZGQ5YzUiLCJ1c2VySWQiOiI0NDQ3MDkxMjgifQ==</vt:lpwstr>
  </property>
</Properties>
</file>