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397F8E3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隶书" w:eastAsia="隶书"/>
          <w:b/>
          <w:w w:val="90"/>
          <w:sz w:val="52"/>
          <w:szCs w:val="52"/>
          <w:lang w:val="en-US" w:eastAsia="zh-CN"/>
        </w:rPr>
      </w:pPr>
      <w:bookmarkStart w:id="0" w:name="_Hlk88569120"/>
      <w:r>
        <w:rPr>
          <w:rFonts w:hint="eastAsia" w:ascii="隶书" w:hAnsi="隶书" w:eastAsia="隶书" w:cs="隶书"/>
          <w:b/>
          <w:bCs/>
          <w:kern w:val="44"/>
          <w:sz w:val="44"/>
          <w:szCs w:val="44"/>
          <w:lang w:val="en-US" w:eastAsia="zh-CN" w:bidi="ar-SA"/>
        </w:rPr>
        <w:t>奋力开创安徽化工行业新局面</w:t>
      </w:r>
    </w:p>
    <w:bookmarkEnd w:id="0"/>
    <w:p w14:paraId="6839634B">
      <w:pPr>
        <w:jc w:val="center"/>
        <w:rPr>
          <w:rFonts w:ascii="等线" w:hAnsi="等线" w:eastAsia="等线" w:cs="Times New Roman"/>
          <w:sz w:val="32"/>
          <w:szCs w:val="32"/>
        </w:rPr>
      </w:pPr>
      <w:bookmarkStart w:id="1" w:name="_GoBack"/>
      <w:bookmarkEnd w:id="1"/>
      <w:r>
        <w:rPr>
          <w:rFonts w:ascii="等线" w:hAnsi="等线" w:eastAsia="等线" w:cs="Times New Roman"/>
          <w:sz w:val="32"/>
          <w:szCs w:val="32"/>
        </w:rPr>
        <w:t>——</w:t>
      </w:r>
      <w:r>
        <w:rPr>
          <w:rFonts w:hint="eastAsia" w:ascii="等线" w:hAnsi="等线" w:eastAsia="等线" w:cs="Times New Roman"/>
          <w:sz w:val="32"/>
          <w:szCs w:val="32"/>
          <w:lang w:eastAsia="zh-CN"/>
        </w:rPr>
        <w:t>凝心聚力攻坚</w:t>
      </w:r>
      <w:r>
        <w:rPr>
          <w:rFonts w:hint="eastAsia" w:ascii="等线" w:hAnsi="等线" w:eastAsia="等线" w:cs="Times New Roman"/>
          <w:sz w:val="32"/>
          <w:szCs w:val="32"/>
          <w:lang w:val="en-US" w:eastAsia="zh-CN"/>
        </w:rPr>
        <w:t xml:space="preserve">  锚定目标实干</w:t>
      </w:r>
    </w:p>
    <w:p w14:paraId="0CA7164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夏英彪</w:t>
      </w:r>
    </w:p>
    <w:p w14:paraId="204CC2A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安徽省化工行业协会</w:t>
      </w:r>
    </w:p>
    <w:p w14:paraId="74D398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p>
    <w:p w14:paraId="2BC60A6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根据中央</w:t>
      </w:r>
      <w:r>
        <w:rPr>
          <w:rFonts w:hint="eastAsia" w:ascii="宋体" w:hAnsi="宋体" w:eastAsia="宋体" w:cs="宋体"/>
          <w:b w:val="0"/>
          <w:bCs/>
          <w:szCs w:val="21"/>
          <w:lang w:eastAsia="zh-CN"/>
        </w:rPr>
        <w:t>二十届四中全会</w:t>
      </w:r>
      <w:r>
        <w:rPr>
          <w:rFonts w:hint="eastAsia" w:ascii="宋体" w:hAnsi="宋体" w:eastAsia="宋体" w:cs="宋体"/>
          <w:b w:val="0"/>
          <w:bCs/>
          <w:szCs w:val="21"/>
        </w:rPr>
        <w:t>精神、</w:t>
      </w:r>
      <w:r>
        <w:rPr>
          <w:rFonts w:hint="eastAsia" w:ascii="宋体" w:hAnsi="宋体" w:eastAsia="宋体" w:cs="宋体"/>
          <w:b w:val="0"/>
          <w:bCs/>
          <w:szCs w:val="21"/>
          <w:lang w:val="en-US" w:eastAsia="zh-CN"/>
        </w:rPr>
        <w:t>中央1号文件精神的</w:t>
      </w:r>
      <w:r>
        <w:rPr>
          <w:rFonts w:hint="eastAsia" w:ascii="宋体" w:hAnsi="宋体" w:eastAsia="宋体" w:cs="宋体"/>
          <w:b w:val="0"/>
          <w:bCs/>
          <w:szCs w:val="21"/>
        </w:rPr>
        <w:t>要求，结合我省</w:t>
      </w:r>
      <w:r>
        <w:rPr>
          <w:rFonts w:hint="eastAsia" w:ascii="宋体" w:hAnsi="宋体" w:eastAsia="宋体" w:cs="宋体"/>
          <w:b w:val="0"/>
          <w:bCs/>
          <w:szCs w:val="21"/>
          <w:lang w:eastAsia="zh-CN"/>
        </w:rPr>
        <w:t>化工（</w:t>
      </w:r>
      <w:r>
        <w:rPr>
          <w:rFonts w:hint="eastAsia" w:ascii="宋体" w:hAnsi="宋体" w:eastAsia="宋体" w:cs="宋体"/>
          <w:b w:val="0"/>
          <w:bCs/>
          <w:szCs w:val="21"/>
        </w:rPr>
        <w:t>化肥硫酸</w:t>
      </w:r>
      <w:r>
        <w:rPr>
          <w:rFonts w:hint="eastAsia" w:ascii="宋体" w:hAnsi="宋体" w:eastAsia="宋体" w:cs="宋体"/>
          <w:b w:val="0"/>
          <w:bCs/>
          <w:szCs w:val="21"/>
          <w:lang w:eastAsia="zh-CN"/>
        </w:rPr>
        <w:t>）</w:t>
      </w:r>
      <w:r>
        <w:rPr>
          <w:rFonts w:hint="eastAsia" w:ascii="宋体" w:hAnsi="宋体" w:eastAsia="宋体" w:cs="宋体"/>
          <w:b w:val="0"/>
          <w:bCs/>
          <w:szCs w:val="21"/>
        </w:rPr>
        <w:t>行业的现状与发展，浅谈一些认识和体会。化工行业</w:t>
      </w:r>
      <w:r>
        <w:rPr>
          <w:rFonts w:hint="eastAsia" w:ascii="宋体" w:hAnsi="宋体" w:eastAsia="宋体" w:cs="宋体"/>
          <w:b w:val="0"/>
          <w:bCs/>
          <w:szCs w:val="21"/>
          <w:lang w:eastAsia="zh-CN"/>
        </w:rPr>
        <w:t>科技赋能</w:t>
      </w:r>
      <w:r>
        <w:rPr>
          <w:rFonts w:hint="eastAsia" w:ascii="宋体" w:hAnsi="宋体" w:eastAsia="宋体" w:cs="宋体"/>
          <w:b w:val="0"/>
          <w:bCs/>
          <w:szCs w:val="21"/>
        </w:rPr>
        <w:t>发展新质生产力主要包括：推进传统产业升级换代和创造新型化工产业的两个层面，前者需要产业创新的能力，后者需要创新产业的能力。实际上我省化肥、硫酸行业多年来均是按此要求进行的！</w:t>
      </w:r>
    </w:p>
    <w:p w14:paraId="03582FC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当前发展新质生产力特点是创新、关键是“新”和“质”、本质是先进生产力。</w:t>
      </w:r>
    </w:p>
    <w:p w14:paraId="00C48BDF">
      <w:pPr>
        <w:keepNext w:val="0"/>
        <w:keepLines w:val="0"/>
        <w:pageBreakBefore w:val="0"/>
        <w:widowControl w:val="0"/>
        <w:kinsoku/>
        <w:wordWrap/>
        <w:overflowPunct/>
        <w:topLinePunct w:val="0"/>
        <w:autoSpaceDE/>
        <w:autoSpaceDN/>
        <w:bidi w:val="0"/>
        <w:adjustRightInd/>
        <w:snapToGrid/>
        <w:spacing w:line="400" w:lineRule="exact"/>
        <w:ind w:firstLine="426" w:firstLineChars="202"/>
        <w:textAlignment w:val="auto"/>
        <w:rPr>
          <w:rFonts w:hint="eastAsia" w:ascii="宋体" w:hAnsi="宋体" w:eastAsia="宋体" w:cs="宋体"/>
          <w:b/>
          <w:bCs w:val="0"/>
          <w:szCs w:val="21"/>
        </w:rPr>
      </w:pPr>
      <w:r>
        <w:rPr>
          <w:rFonts w:hint="eastAsia" w:ascii="宋体" w:hAnsi="宋体" w:eastAsia="宋体" w:cs="宋体"/>
          <w:b/>
          <w:bCs w:val="0"/>
          <w:szCs w:val="21"/>
        </w:rPr>
        <w:t>一、目前化肥工业及农业状况</w:t>
      </w:r>
    </w:p>
    <w:p w14:paraId="6447719C">
      <w:pPr>
        <w:keepNext w:val="0"/>
        <w:keepLines w:val="0"/>
        <w:pageBreakBefore w:val="0"/>
        <w:widowControl w:val="0"/>
        <w:kinsoku/>
        <w:wordWrap/>
        <w:overflowPunct/>
        <w:topLinePunct w:val="0"/>
        <w:autoSpaceDE/>
        <w:autoSpaceDN/>
        <w:bidi w:val="0"/>
        <w:adjustRightInd/>
        <w:snapToGrid/>
        <w:spacing w:line="400" w:lineRule="exact"/>
        <w:ind w:firstLine="424" w:firstLineChars="202"/>
        <w:textAlignment w:val="auto"/>
        <w:rPr>
          <w:rFonts w:hint="eastAsia" w:ascii="宋体" w:hAnsi="宋体" w:eastAsia="宋体" w:cs="宋体"/>
          <w:b w:val="0"/>
          <w:bCs/>
          <w:szCs w:val="21"/>
        </w:rPr>
      </w:pPr>
      <w:r>
        <w:rPr>
          <w:rFonts w:hint="eastAsia" w:ascii="宋体" w:hAnsi="宋体" w:eastAsia="宋体" w:cs="宋体"/>
          <w:b w:val="0"/>
          <w:bCs/>
          <w:szCs w:val="21"/>
        </w:rPr>
        <w:t>6</w:t>
      </w:r>
      <w:r>
        <w:rPr>
          <w:rFonts w:hint="eastAsia" w:ascii="宋体" w:hAnsi="宋体" w:eastAsia="宋体" w:cs="宋体"/>
          <w:b w:val="0"/>
          <w:bCs/>
          <w:szCs w:val="21"/>
          <w:lang w:val="en-US" w:eastAsia="zh-CN"/>
        </w:rPr>
        <w:t>8</w:t>
      </w:r>
      <w:r>
        <w:rPr>
          <w:rFonts w:hint="eastAsia" w:ascii="宋体" w:hAnsi="宋体" w:eastAsia="宋体" w:cs="宋体"/>
          <w:b w:val="0"/>
          <w:bCs/>
          <w:szCs w:val="21"/>
        </w:rPr>
        <w:t>年风雨兼程，6</w:t>
      </w:r>
      <w:r>
        <w:rPr>
          <w:rFonts w:hint="eastAsia" w:ascii="宋体" w:hAnsi="宋体" w:eastAsia="宋体" w:cs="宋体"/>
          <w:b w:val="0"/>
          <w:bCs/>
          <w:szCs w:val="21"/>
          <w:lang w:val="en-US" w:eastAsia="zh-CN"/>
        </w:rPr>
        <w:t>8</w:t>
      </w:r>
      <w:r>
        <w:rPr>
          <w:rFonts w:hint="eastAsia" w:ascii="宋体" w:hAnsi="宋体" w:eastAsia="宋体" w:cs="宋体"/>
          <w:b w:val="0"/>
          <w:bCs/>
          <w:szCs w:val="21"/>
        </w:rPr>
        <w:t>年春华秋实。勤劳勇敢的化肥人砥砺奋进，使我国化肥工业从无到有，从小到大，从弱到强，从品种单一到品种多元，从进口之国变成化肥生产、消费大国，弹指一挥间，令华夏自豪、世人惊叹！</w:t>
      </w:r>
    </w:p>
    <w:p w14:paraId="6B8D4DD2">
      <w:pPr>
        <w:keepNext w:val="0"/>
        <w:keepLines w:val="0"/>
        <w:pageBreakBefore w:val="0"/>
        <w:widowControl w:val="0"/>
        <w:kinsoku/>
        <w:wordWrap/>
        <w:overflowPunct/>
        <w:topLinePunct w:val="0"/>
        <w:autoSpaceDE/>
        <w:autoSpaceDN/>
        <w:bidi w:val="0"/>
        <w:adjustRightInd/>
        <w:snapToGrid/>
        <w:spacing w:line="400" w:lineRule="exact"/>
        <w:ind w:firstLine="424" w:firstLineChars="202"/>
        <w:textAlignment w:val="auto"/>
        <w:rPr>
          <w:rFonts w:hint="eastAsia" w:ascii="宋体" w:hAnsi="宋体" w:eastAsia="宋体" w:cs="宋体"/>
          <w:b w:val="0"/>
          <w:bCs/>
          <w:szCs w:val="21"/>
        </w:rPr>
      </w:pPr>
      <w:r>
        <w:rPr>
          <w:rFonts w:hint="eastAsia" w:ascii="宋体" w:hAnsi="宋体" w:eastAsia="宋体" w:cs="宋体"/>
          <w:b w:val="0"/>
          <w:bCs/>
          <w:szCs w:val="21"/>
        </w:rPr>
        <w:t>在党中央、国务院的高度重视下，我国粮食已经实现了“二十</w:t>
      </w:r>
      <w:r>
        <w:rPr>
          <w:rFonts w:hint="eastAsia" w:ascii="宋体" w:hAnsi="宋体" w:eastAsia="宋体" w:cs="宋体"/>
          <w:b w:val="0"/>
          <w:bCs/>
          <w:szCs w:val="21"/>
          <w:lang w:val="en-US" w:eastAsia="zh-CN"/>
        </w:rPr>
        <w:t>二</w:t>
      </w:r>
      <w:r>
        <w:rPr>
          <w:rFonts w:hint="eastAsia" w:ascii="宋体" w:hAnsi="宋体" w:eastAsia="宋体" w:cs="宋体"/>
          <w:b w:val="0"/>
          <w:bCs/>
          <w:szCs w:val="21"/>
        </w:rPr>
        <w:t>年增”，</w:t>
      </w:r>
      <w:r>
        <w:rPr>
          <w:rFonts w:hint="eastAsia" w:ascii="宋体" w:hAnsi="宋体" w:eastAsia="宋体" w:cs="宋体"/>
          <w:b w:val="0"/>
          <w:bCs/>
          <w:szCs w:val="21"/>
          <w:lang w:eastAsia="zh-CN"/>
        </w:rPr>
        <w:t>（</w:t>
      </w:r>
      <w:r>
        <w:rPr>
          <w:rFonts w:hint="eastAsia" w:ascii="宋体" w:hAnsi="宋体" w:eastAsia="宋体" w:cs="宋体"/>
          <w:b w:val="0"/>
          <w:bCs/>
          <w:szCs w:val="21"/>
          <w:lang w:val="en-US" w:eastAsia="zh-CN"/>
        </w:rPr>
        <w:t>去年我省生产838.6亿斤粮食，全国生产1.4298万亿斤粮食的最好成绩</w:t>
      </w:r>
      <w:r>
        <w:rPr>
          <w:rFonts w:hint="eastAsia" w:ascii="宋体" w:hAnsi="宋体" w:eastAsia="宋体" w:cs="宋体"/>
          <w:b w:val="0"/>
          <w:bCs/>
          <w:szCs w:val="21"/>
          <w:lang w:eastAsia="zh-CN"/>
        </w:rPr>
        <w:t>）。</w:t>
      </w:r>
      <w:r>
        <w:rPr>
          <w:rFonts w:hint="eastAsia" w:ascii="宋体" w:hAnsi="宋体" w:eastAsia="宋体" w:cs="宋体"/>
          <w:b w:val="0"/>
          <w:bCs/>
          <w:szCs w:val="21"/>
        </w:rPr>
        <w:t>但同时也应该清醒地认识到，我国进口粮食的增速高于国内生产粮食的增幅。显然，我国农业现代化正处于挑战与机遇同在的交叉路口。越是在此时，我们越应当保持清醒的头脑，越需要全社会对三农问题有一个系统而正确的了解，有个科学的认识，从而有一个全面的把握。农业是“生命工程”，它的对象是活的生命体，消费对象也是活的生命体，一日三餐，人人需要，这是铁律。</w:t>
      </w:r>
    </w:p>
    <w:p w14:paraId="3DFA34A5">
      <w:pPr>
        <w:keepNext w:val="0"/>
        <w:keepLines w:val="0"/>
        <w:pageBreakBefore w:val="0"/>
        <w:widowControl w:val="0"/>
        <w:kinsoku/>
        <w:wordWrap/>
        <w:overflowPunct/>
        <w:topLinePunct w:val="0"/>
        <w:autoSpaceDE/>
        <w:autoSpaceDN/>
        <w:bidi w:val="0"/>
        <w:adjustRightInd/>
        <w:snapToGrid/>
        <w:spacing w:line="400" w:lineRule="exact"/>
        <w:ind w:firstLine="424" w:firstLineChars="202"/>
        <w:textAlignment w:val="auto"/>
        <w:rPr>
          <w:rFonts w:hint="eastAsia" w:ascii="宋体" w:hAnsi="宋体" w:eastAsia="宋体" w:cs="宋体"/>
          <w:b w:val="0"/>
          <w:bCs/>
          <w:spacing w:val="-4"/>
          <w:szCs w:val="21"/>
        </w:rPr>
      </w:pPr>
      <w:r>
        <w:rPr>
          <w:rFonts w:hint="eastAsia" w:ascii="宋体" w:hAnsi="宋体" w:eastAsia="宋体" w:cs="宋体"/>
          <w:b w:val="0"/>
          <w:bCs/>
          <w:szCs w:val="21"/>
        </w:rPr>
        <w:t>应牢记习</w:t>
      </w:r>
      <w:r>
        <w:rPr>
          <w:rFonts w:hint="eastAsia" w:ascii="宋体" w:hAnsi="宋体" w:eastAsia="宋体" w:cs="宋体"/>
          <w:b w:val="0"/>
          <w:bCs/>
          <w:spacing w:val="-4"/>
          <w:szCs w:val="21"/>
        </w:rPr>
        <w:t>近平同志提出“把中国人的饭碗牢牢地端在自己手里的使命”，确保粮食安全这一国策使命。为此，必须要真正做好为农业服务，实现乡村振兴是全社会应予重视的一个大问题。</w:t>
      </w:r>
    </w:p>
    <w:p w14:paraId="502F4EF5">
      <w:pPr>
        <w:keepNext w:val="0"/>
        <w:keepLines w:val="0"/>
        <w:pageBreakBefore w:val="0"/>
        <w:widowControl w:val="0"/>
        <w:kinsoku/>
        <w:wordWrap/>
        <w:overflowPunct/>
        <w:topLinePunct w:val="0"/>
        <w:autoSpaceDE/>
        <w:autoSpaceDN/>
        <w:bidi w:val="0"/>
        <w:adjustRightInd/>
        <w:snapToGrid/>
        <w:spacing w:line="400" w:lineRule="exact"/>
        <w:ind w:firstLine="424" w:firstLineChars="202"/>
        <w:textAlignment w:val="auto"/>
        <w:rPr>
          <w:rFonts w:hint="eastAsia" w:ascii="宋体" w:hAnsi="宋体" w:eastAsia="宋体" w:cs="宋体"/>
          <w:b w:val="0"/>
          <w:bCs/>
          <w:szCs w:val="21"/>
        </w:rPr>
      </w:pPr>
      <w:r>
        <w:rPr>
          <w:rFonts w:hint="eastAsia" w:ascii="宋体" w:hAnsi="宋体" w:eastAsia="宋体" w:cs="宋体"/>
          <w:b w:val="0"/>
          <w:bCs/>
          <w:szCs w:val="21"/>
        </w:rPr>
        <w:t>我国农业面临肥料利用率低，土壤地力与健康差，病虫害防治难，土壤面临板结、盐碱化、酸化、重金属污染等问题，农产品产量徘徊、品质下降。土壤健康状况与农牧业可持续发展、水和空气质量息息相关，并且深刻影响植物、动物和人类的健康。二十大报告指明了全国农业发展的途径；以乡村振兴战略为目标；以农业供给侧结构性改革为主线；以生态文明和农业绿色发展为引导；以科技创新为动力。保障国家粮食安全的根本在耕地，耕地是粮食生产的命根子。农民可以非农化，但耕地不能非农化。如果耕地都非农了，人们赖以吃饭的家底就没有了。</w:t>
      </w:r>
    </w:p>
    <w:p w14:paraId="0F67D616">
      <w:pPr>
        <w:keepNext w:val="0"/>
        <w:keepLines w:val="0"/>
        <w:pageBreakBefore w:val="0"/>
        <w:widowControl w:val="0"/>
        <w:kinsoku/>
        <w:wordWrap/>
        <w:overflowPunct/>
        <w:topLinePunct w:val="0"/>
        <w:autoSpaceDE/>
        <w:autoSpaceDN/>
        <w:bidi w:val="0"/>
        <w:adjustRightInd/>
        <w:snapToGrid/>
        <w:spacing w:line="400" w:lineRule="exact"/>
        <w:ind w:firstLine="424" w:firstLineChars="202"/>
        <w:textAlignment w:val="auto"/>
        <w:rPr>
          <w:rFonts w:hint="eastAsia" w:ascii="宋体" w:hAnsi="宋体" w:eastAsia="宋体" w:cs="宋体"/>
          <w:b w:val="0"/>
          <w:bCs/>
          <w:szCs w:val="21"/>
        </w:rPr>
      </w:pPr>
      <w:r>
        <w:rPr>
          <w:rFonts w:hint="eastAsia" w:ascii="宋体" w:hAnsi="宋体" w:eastAsia="宋体" w:cs="宋体"/>
          <w:b w:val="0"/>
          <w:bCs/>
          <w:szCs w:val="21"/>
        </w:rPr>
        <w:t>当今我国农业生产中亟待解决粮食安全、食品安全、环境安全三大主要问题，以实现我国农业向着高产、优质、高效、生态、安全方向发展。</w:t>
      </w:r>
    </w:p>
    <w:p w14:paraId="7E5734DB">
      <w:pPr>
        <w:keepNext w:val="0"/>
        <w:keepLines w:val="0"/>
        <w:pageBreakBefore w:val="0"/>
        <w:widowControl w:val="0"/>
        <w:kinsoku/>
        <w:wordWrap/>
        <w:overflowPunct/>
        <w:topLinePunct w:val="0"/>
        <w:autoSpaceDE/>
        <w:autoSpaceDN/>
        <w:bidi w:val="0"/>
        <w:adjustRightInd/>
        <w:snapToGrid/>
        <w:spacing w:line="400" w:lineRule="exact"/>
        <w:ind w:firstLine="424" w:firstLineChars="202"/>
        <w:textAlignment w:val="auto"/>
        <w:rPr>
          <w:rFonts w:hint="eastAsia" w:ascii="宋体" w:hAnsi="宋体" w:eastAsia="宋体" w:cs="宋体"/>
          <w:b w:val="0"/>
          <w:bCs/>
          <w:szCs w:val="21"/>
        </w:rPr>
      </w:pPr>
      <w:r>
        <w:rPr>
          <w:rFonts w:hint="eastAsia" w:ascii="宋体" w:hAnsi="宋体" w:eastAsia="宋体" w:cs="宋体"/>
          <w:b w:val="0"/>
          <w:bCs/>
          <w:szCs w:val="21"/>
        </w:rPr>
        <w:t>新型肥料（包括功能性特质肥、生物肥、有机肥等）的发展趋势与农药发展趋势密切相关。随着社会的变迁及人们生活水平的提高，人类对粮食和农产品数量及质量的需求逐步提高，只有加快新型肥料的发展速度，才能保证农业生产沿着高产、优质、低耗和高效方向发展。采用低碳技术和应用新型肥料，是肥料界的一场革命和科技创新，也是我国发展现代农业的必然选择。</w:t>
      </w:r>
    </w:p>
    <w:p w14:paraId="618C8A28">
      <w:pPr>
        <w:keepNext w:val="0"/>
        <w:keepLines w:val="0"/>
        <w:pageBreakBefore w:val="0"/>
        <w:widowControl w:val="0"/>
        <w:kinsoku/>
        <w:wordWrap/>
        <w:overflowPunct/>
        <w:topLinePunct w:val="0"/>
        <w:autoSpaceDE/>
        <w:autoSpaceDN/>
        <w:bidi w:val="0"/>
        <w:adjustRightInd/>
        <w:snapToGrid/>
        <w:spacing w:line="400" w:lineRule="exact"/>
        <w:ind w:firstLine="426" w:firstLineChars="202"/>
        <w:textAlignment w:val="auto"/>
        <w:rPr>
          <w:rFonts w:hint="eastAsia" w:ascii="宋体" w:hAnsi="宋体" w:eastAsia="宋体" w:cs="宋体"/>
          <w:b/>
          <w:bCs w:val="0"/>
          <w:szCs w:val="21"/>
        </w:rPr>
      </w:pPr>
      <w:r>
        <w:rPr>
          <w:rFonts w:hint="eastAsia" w:ascii="宋体" w:hAnsi="宋体" w:eastAsia="宋体" w:cs="宋体"/>
          <w:b/>
          <w:bCs w:val="0"/>
          <w:szCs w:val="21"/>
        </w:rPr>
        <w:t>二、我省化肥行业简况</w:t>
      </w:r>
    </w:p>
    <w:p w14:paraId="743999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202</w:t>
      </w:r>
      <w:r>
        <w:rPr>
          <w:rFonts w:hint="eastAsia" w:ascii="宋体" w:hAnsi="宋体" w:eastAsia="宋体" w:cs="宋体"/>
          <w:b w:val="0"/>
          <w:bCs/>
          <w:szCs w:val="21"/>
          <w:lang w:val="en-US" w:eastAsia="zh-CN"/>
        </w:rPr>
        <w:t>5</w:t>
      </w:r>
      <w:r>
        <w:rPr>
          <w:rFonts w:hint="eastAsia" w:ascii="宋体" w:hAnsi="宋体" w:eastAsia="宋体" w:cs="宋体"/>
          <w:b w:val="0"/>
          <w:bCs/>
          <w:szCs w:val="21"/>
        </w:rPr>
        <w:t>年，我省化肥实物量突破1200万吨，其中行业内统计磷铵</w:t>
      </w:r>
      <w:r>
        <w:rPr>
          <w:rFonts w:hint="eastAsia" w:ascii="宋体" w:hAnsi="宋体" w:eastAsia="宋体" w:cs="宋体"/>
          <w:b w:val="0"/>
          <w:bCs/>
          <w:szCs w:val="21"/>
          <w:lang w:val="en-US" w:eastAsia="zh-CN"/>
        </w:rPr>
        <w:t>117.3</w:t>
      </w:r>
      <w:r>
        <w:rPr>
          <w:rFonts w:hint="eastAsia" w:ascii="宋体" w:hAnsi="宋体" w:eastAsia="宋体" w:cs="宋体"/>
          <w:b w:val="0"/>
          <w:bCs/>
          <w:szCs w:val="21"/>
        </w:rPr>
        <w:t>万吨，复混肥</w:t>
      </w:r>
      <w:r>
        <w:rPr>
          <w:rFonts w:hint="eastAsia" w:ascii="宋体" w:hAnsi="宋体" w:eastAsia="宋体" w:cs="宋体"/>
          <w:b w:val="0"/>
          <w:bCs/>
          <w:szCs w:val="21"/>
          <w:lang w:val="en-US" w:eastAsia="zh-CN"/>
        </w:rPr>
        <w:t>224.9</w:t>
      </w:r>
      <w:r>
        <w:rPr>
          <w:rFonts w:hint="eastAsia" w:ascii="宋体" w:hAnsi="宋体" w:eastAsia="宋体" w:cs="宋体"/>
          <w:b w:val="0"/>
          <w:bCs/>
          <w:szCs w:val="21"/>
        </w:rPr>
        <w:t>万吨，合成氨</w:t>
      </w:r>
      <w:r>
        <w:rPr>
          <w:rFonts w:hint="eastAsia" w:ascii="宋体" w:hAnsi="宋体" w:eastAsia="宋体" w:cs="宋体"/>
          <w:b w:val="0"/>
          <w:bCs/>
          <w:szCs w:val="21"/>
          <w:lang w:val="en-US" w:eastAsia="zh-CN"/>
        </w:rPr>
        <w:t>401.1</w:t>
      </w:r>
      <w:r>
        <w:rPr>
          <w:rFonts w:hint="eastAsia" w:ascii="宋体" w:hAnsi="宋体" w:eastAsia="宋体" w:cs="宋体"/>
          <w:b w:val="0"/>
          <w:bCs/>
          <w:szCs w:val="21"/>
        </w:rPr>
        <w:t>万吨、尿素</w:t>
      </w:r>
      <w:r>
        <w:rPr>
          <w:rFonts w:hint="eastAsia" w:ascii="宋体" w:hAnsi="宋体" w:eastAsia="宋体" w:cs="宋体"/>
          <w:b w:val="0"/>
          <w:bCs/>
          <w:szCs w:val="21"/>
          <w:lang w:val="en-US" w:eastAsia="zh-CN"/>
        </w:rPr>
        <w:t>368.8</w:t>
      </w:r>
      <w:r>
        <w:rPr>
          <w:rFonts w:hint="eastAsia" w:ascii="宋体" w:hAnsi="宋体" w:eastAsia="宋体" w:cs="宋体"/>
          <w:b w:val="0"/>
          <w:bCs/>
          <w:szCs w:val="21"/>
        </w:rPr>
        <w:t>万吨，碳铵</w:t>
      </w:r>
      <w:r>
        <w:rPr>
          <w:rFonts w:hint="eastAsia" w:ascii="宋体" w:hAnsi="宋体" w:eastAsia="宋体" w:cs="宋体"/>
          <w:b w:val="0"/>
          <w:bCs/>
          <w:szCs w:val="21"/>
          <w:lang w:val="en-US" w:eastAsia="zh-CN"/>
        </w:rPr>
        <w:t>30.3</w:t>
      </w:r>
      <w:r>
        <w:rPr>
          <w:rFonts w:hint="eastAsia" w:ascii="宋体" w:hAnsi="宋体" w:eastAsia="宋体" w:cs="宋体"/>
          <w:b w:val="0"/>
          <w:bCs/>
          <w:szCs w:val="21"/>
        </w:rPr>
        <w:t>万吨，还有部分硫铵、氯化铵，有机肥、生物肥等新型功能性肥料。硫酸</w:t>
      </w:r>
      <w:r>
        <w:rPr>
          <w:rFonts w:hint="eastAsia" w:ascii="宋体" w:hAnsi="宋体" w:eastAsia="宋体" w:cs="宋体"/>
          <w:b w:val="0"/>
          <w:bCs/>
          <w:szCs w:val="21"/>
          <w:lang w:val="en-US" w:eastAsia="zh-CN"/>
        </w:rPr>
        <w:t>876.9</w:t>
      </w:r>
      <w:r>
        <w:rPr>
          <w:rFonts w:hint="eastAsia" w:ascii="宋体" w:hAnsi="宋体" w:eastAsia="宋体" w:cs="宋体"/>
          <w:b w:val="0"/>
          <w:bCs/>
          <w:szCs w:val="21"/>
        </w:rPr>
        <w:t>万吨（</w:t>
      </w:r>
      <w:r>
        <w:rPr>
          <w:rFonts w:hint="eastAsia" w:ascii="宋体" w:hAnsi="宋体" w:eastAsia="宋体" w:cs="宋体"/>
          <w:b w:val="0"/>
          <w:bCs/>
          <w:szCs w:val="21"/>
          <w:lang w:eastAsia="zh-CN"/>
        </w:rPr>
        <w:t>系统内统计</w:t>
      </w:r>
      <w:r>
        <w:rPr>
          <w:rFonts w:hint="eastAsia" w:ascii="宋体" w:hAnsi="宋体" w:eastAsia="宋体" w:cs="宋体"/>
          <w:b w:val="0"/>
          <w:bCs/>
          <w:szCs w:val="21"/>
          <w:lang w:val="en-US" w:eastAsia="zh-CN"/>
        </w:rPr>
        <w:t>186.9万吨+</w:t>
      </w:r>
      <w:r>
        <w:rPr>
          <w:rFonts w:hint="eastAsia" w:ascii="宋体" w:hAnsi="宋体" w:eastAsia="宋体" w:cs="宋体"/>
          <w:b w:val="0"/>
          <w:bCs/>
          <w:szCs w:val="21"/>
        </w:rPr>
        <w:t>冶炼酸）、硫磷矿</w:t>
      </w:r>
      <w:r>
        <w:rPr>
          <w:rFonts w:hint="eastAsia" w:ascii="宋体" w:hAnsi="宋体" w:eastAsia="宋体" w:cs="宋体"/>
          <w:b w:val="0"/>
          <w:bCs/>
          <w:szCs w:val="21"/>
          <w:lang w:val="en-US" w:eastAsia="zh-CN"/>
        </w:rPr>
        <w:t>212.7</w:t>
      </w:r>
      <w:r>
        <w:rPr>
          <w:rFonts w:hint="eastAsia" w:ascii="宋体" w:hAnsi="宋体" w:eastAsia="宋体" w:cs="宋体"/>
          <w:b w:val="0"/>
          <w:bCs/>
          <w:szCs w:val="21"/>
        </w:rPr>
        <w:t>万吨，磷石膏</w:t>
      </w:r>
      <w:r>
        <w:rPr>
          <w:rFonts w:hint="eastAsia" w:ascii="宋体" w:hAnsi="宋体" w:eastAsia="宋体" w:cs="宋体"/>
          <w:b w:val="0"/>
          <w:bCs/>
          <w:szCs w:val="21"/>
          <w:lang w:val="en-US" w:eastAsia="zh-CN"/>
        </w:rPr>
        <w:t>401.8</w:t>
      </w:r>
      <w:r>
        <w:rPr>
          <w:rFonts w:hint="eastAsia" w:ascii="宋体" w:hAnsi="宋体" w:eastAsia="宋体" w:cs="宋体"/>
          <w:b w:val="0"/>
          <w:bCs/>
          <w:szCs w:val="21"/>
        </w:rPr>
        <w:t>万吨，磷酸</w:t>
      </w:r>
      <w:r>
        <w:rPr>
          <w:rFonts w:hint="eastAsia" w:ascii="宋体" w:hAnsi="宋体" w:eastAsia="宋体" w:cs="宋体"/>
          <w:b w:val="0"/>
          <w:bCs/>
          <w:szCs w:val="21"/>
          <w:lang w:val="en-US" w:eastAsia="zh-CN"/>
        </w:rPr>
        <w:t>232.1</w:t>
      </w:r>
      <w:r>
        <w:rPr>
          <w:rFonts w:hint="eastAsia" w:ascii="宋体" w:hAnsi="宋体" w:eastAsia="宋体" w:cs="宋体"/>
          <w:b w:val="0"/>
          <w:bCs/>
          <w:szCs w:val="21"/>
        </w:rPr>
        <w:t>万吨。</w:t>
      </w:r>
    </w:p>
    <w:p w14:paraId="21D433F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作为农业大省——安徽耕地有8829.9万亩，是全国13个重点粮食生产省份之一，粮食产量已实现二十</w:t>
      </w:r>
      <w:r>
        <w:rPr>
          <w:rFonts w:hint="eastAsia" w:ascii="宋体" w:hAnsi="宋体" w:eastAsia="宋体" w:cs="宋体"/>
          <w:b w:val="0"/>
          <w:bCs/>
          <w:szCs w:val="21"/>
          <w:lang w:val="en-US" w:eastAsia="zh-CN"/>
        </w:rPr>
        <w:t>二</w:t>
      </w:r>
      <w:r>
        <w:rPr>
          <w:rFonts w:hint="eastAsia" w:ascii="宋体" w:hAnsi="宋体" w:eastAsia="宋体" w:cs="宋体"/>
          <w:b w:val="0"/>
          <w:bCs/>
          <w:szCs w:val="21"/>
        </w:rPr>
        <w:t>年递增。202</w:t>
      </w:r>
      <w:r>
        <w:rPr>
          <w:rFonts w:hint="eastAsia" w:ascii="宋体" w:hAnsi="宋体" w:eastAsia="宋体" w:cs="宋体"/>
          <w:b w:val="0"/>
          <w:bCs/>
          <w:szCs w:val="21"/>
          <w:lang w:val="en-US" w:eastAsia="zh-CN"/>
        </w:rPr>
        <w:t>5</w:t>
      </w:r>
      <w:r>
        <w:rPr>
          <w:rFonts w:hint="eastAsia" w:ascii="宋体" w:hAnsi="宋体" w:eastAsia="宋体" w:cs="宋体"/>
          <w:b w:val="0"/>
          <w:bCs/>
          <w:szCs w:val="21"/>
        </w:rPr>
        <w:t>年粮食产量</w:t>
      </w:r>
      <w:r>
        <w:rPr>
          <w:rFonts w:hint="eastAsia" w:ascii="宋体" w:hAnsi="宋体" w:eastAsia="宋体" w:cs="宋体"/>
          <w:b w:val="0"/>
          <w:bCs/>
          <w:szCs w:val="21"/>
          <w:lang w:val="en-US" w:eastAsia="zh-CN"/>
        </w:rPr>
        <w:t>838.6</w:t>
      </w:r>
      <w:r>
        <w:rPr>
          <w:rFonts w:hint="eastAsia" w:ascii="宋体" w:hAnsi="宋体" w:eastAsia="宋体" w:cs="宋体"/>
          <w:b w:val="0"/>
          <w:bCs/>
          <w:szCs w:val="21"/>
        </w:rPr>
        <w:t>亿斤。化肥行业效力我省现代农业功不可没，不仅为发展优质、高效、高产农业提供了重要保证，而且有利于农业生产方式的提档升级，这也是新型城镇化建设的必然要求。就安徽而言，农业的基础地位不容动摇，贯彻党的二十大</w:t>
      </w:r>
      <w:r>
        <w:rPr>
          <w:rFonts w:hint="eastAsia" w:ascii="宋体" w:hAnsi="宋体" w:eastAsia="宋体" w:cs="宋体"/>
          <w:b w:val="0"/>
          <w:bCs/>
          <w:szCs w:val="21"/>
          <w:lang w:eastAsia="zh-CN"/>
        </w:rPr>
        <w:t>四中全会</w:t>
      </w:r>
      <w:r>
        <w:rPr>
          <w:rFonts w:hint="eastAsia" w:ascii="宋体" w:hAnsi="宋体" w:eastAsia="宋体" w:cs="宋体"/>
          <w:b w:val="0"/>
          <w:bCs/>
          <w:szCs w:val="21"/>
        </w:rPr>
        <w:t>精神，安徽的乡村振兴战略和新型城镇化建设是一头连着工业化，一头连着农业现代化。化肥行业是我省一个传统产业，也是劳动密集型行业，对于推进新型城镇化、吸纳农村劳动力起着积极作用，也带动了物流、餐饮、金融、服务、交通、旅游等行业的发展。因此化肥（包括磷铵、普钙、复合肥和新型功能性肥料）在保障我省粮食安全、促进农业发展，为农民增收节支等方面有着举足轻重的作用。回顾我省的化肥工业发展史，经历了从无到有、从小到大、从大量进口到自给</w:t>
      </w:r>
      <w:r>
        <w:rPr>
          <w:rFonts w:hint="eastAsia" w:ascii="宋体" w:hAnsi="宋体" w:eastAsia="宋体" w:cs="宋体"/>
          <w:b w:val="0"/>
          <w:bCs/>
          <w:szCs w:val="21"/>
          <w:lang w:eastAsia="zh-CN"/>
        </w:rPr>
        <w:t>有</w:t>
      </w:r>
      <w:r>
        <w:rPr>
          <w:rFonts w:hint="eastAsia" w:ascii="宋体" w:hAnsi="宋体" w:eastAsia="宋体" w:cs="宋体"/>
          <w:b w:val="0"/>
          <w:bCs/>
          <w:szCs w:val="21"/>
        </w:rPr>
        <w:t>余、从工艺设备全套引进到完全自主并且有世界先进水平的发展。</w:t>
      </w:r>
    </w:p>
    <w:p w14:paraId="67D271D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六国化工公司与合肥工业大学共同研发的“湿法磷酸提质增效高值化技术及产业化项目”获省科技进步二等奖。该项目实施后，增加了高品质а一半水石膏产品品种，扩大了销售规模，促进了建筑装饰材料等相关行业发展，不但有助于磷化工产业向高质、高效、高值方向迈进，协同上下游产业绿色循环发展，而且对加快资源高效回收利用和保护生态环境具有重要意义。</w:t>
      </w:r>
    </w:p>
    <w:p w14:paraId="5EBF8D1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昊源化工、金禾实业公司在“创新引领、科技赋能”的发展理念指导下，促进创新链、产业链、资金链、人才链的深度融合，取得了显著成绩。昊源化工去年实现“双增长”（销售收入201.6亿元，利润13.6亿元），金禾化工产品出口在行业中居于领先地位。</w:t>
      </w:r>
    </w:p>
    <w:p w14:paraId="2772033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中盐红四方肥业公司在中国磷复肥工业协会和张福锁院士支持下成立了“中国复合肥创新研究院”，必将为我国复合肥行业的创新发展起到有力的推动作用。</w:t>
      </w:r>
    </w:p>
    <w:p w14:paraId="0EE9F03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现代农业追求的是节能、低碳、增效、绿色，而肥料是最大的农业生产资料投入品，关系耕地质量和土壤生态建设的历史重任，承载着农产品质量安全的重要责任。由此看来功能性肥料发展方向是围绕绿色环保和农业产能做文章，为生态农业作贡献。</w:t>
      </w:r>
    </w:p>
    <w:p w14:paraId="56E689C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新型高效环保肥料的研制及应用日益受到重视，新型肥料如雨后春笋，迅速发展，产品多样、百花齐放，但也鱼龙混杂、良莠不齐，为此必须“以质量代替数量”，切实提高农业效率和化肥利用率、发展绿色生态农业，新型肥料的快速发展将推动着行业的进步。</w:t>
      </w:r>
    </w:p>
    <w:p w14:paraId="75DDF14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当前中国农业面临一方面要促进粮食增产，提高作物品质；另一方面要减少面源污染，提升土壤的修复能力。正是面临这样的形势，或者说是契机，从而使新型肥料、功能性肥料应运而生，即既能改善土壤和微环境，又能增强营养、提高产量，这将是肥料行业发展的延续和新的亮点。</w:t>
      </w:r>
    </w:p>
    <w:p w14:paraId="4627812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随着我国城镇化、农业现代化的加快发展，土地扭转速度加快，农业适度化经营大量涌现，同时我国人口老龄化，农村青壮劳力外出打工兼业化日渐突出，普通农户在农业生产过程中过去产自身能解决好的许多事情，现在一家一户办不了、办不好，办起来不合算的事情越来越多。种好地是国家粮食安全的基础，快乐幸福地生活是农民内在生活的需要，这一切却使得农户对农业生产型服务的需求变得越来越明显，要求也越来越高。上年农业部、发改委、财政部印发《关于加快发展农业生产型服务业的指导意见》，鼓励发展农业生产服务业，将有力地支撑着现代化农业的发展。</w:t>
      </w:r>
    </w:p>
    <w:p w14:paraId="2815FA3F">
      <w:pPr>
        <w:keepNext w:val="0"/>
        <w:keepLines w:val="0"/>
        <w:pageBreakBefore w:val="0"/>
        <w:widowControl w:val="0"/>
        <w:kinsoku/>
        <w:wordWrap/>
        <w:overflowPunct/>
        <w:topLinePunct w:val="0"/>
        <w:autoSpaceDE/>
        <w:autoSpaceDN/>
        <w:bidi w:val="0"/>
        <w:adjustRightInd/>
        <w:snapToGrid/>
        <w:spacing w:line="400" w:lineRule="exact"/>
        <w:ind w:firstLine="426" w:firstLineChars="202"/>
        <w:textAlignment w:val="auto"/>
        <w:rPr>
          <w:rFonts w:hint="eastAsia" w:ascii="宋体" w:hAnsi="宋体" w:eastAsia="宋体" w:cs="宋体"/>
          <w:b/>
          <w:bCs w:val="0"/>
          <w:szCs w:val="21"/>
        </w:rPr>
      </w:pPr>
      <w:r>
        <w:rPr>
          <w:rFonts w:hint="eastAsia" w:ascii="宋体" w:hAnsi="宋体" w:eastAsia="宋体" w:cs="宋体"/>
          <w:b/>
          <w:bCs w:val="0"/>
          <w:szCs w:val="21"/>
        </w:rPr>
        <w:t>三、当前我省硫酸产业的状况与特点：</w:t>
      </w:r>
    </w:p>
    <w:p w14:paraId="0E66802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1、硫酸行业近几年产能比较稳定，由于环保、安全、能源三项政策制约，因此倒逼企业加快转型升级，不适应的中小企业已在十多年前相继淘汰或转型了。</w:t>
      </w:r>
    </w:p>
    <w:p w14:paraId="7F1374D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eastAsia="zh-CN"/>
        </w:rPr>
      </w:pPr>
      <w:r>
        <w:rPr>
          <w:rFonts w:hint="eastAsia" w:ascii="宋体" w:hAnsi="宋体" w:eastAsia="宋体" w:cs="宋体"/>
          <w:b w:val="0"/>
          <w:bCs/>
          <w:szCs w:val="21"/>
        </w:rPr>
        <w:t>2、</w:t>
      </w:r>
      <w:r>
        <w:rPr>
          <w:rFonts w:hint="eastAsia" w:ascii="宋体" w:hAnsi="宋体" w:eastAsia="宋体" w:cs="宋体"/>
          <w:b w:val="0"/>
          <w:bCs/>
          <w:szCs w:val="21"/>
          <w:lang w:eastAsia="zh-CN"/>
        </w:rPr>
        <w:t>硫化工，需求强劲，强势上行。</w:t>
      </w:r>
    </w:p>
    <w:p w14:paraId="717B8A3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2025年，硫化工在传统化工刚需的支撑与新能源领域需求爆发的双重驱动下，走出一条贯穿全年的强势上行行情，成为化工市场中表现最为突出的细分赛道之一。</w:t>
      </w:r>
    </w:p>
    <w:p w14:paraId="232CBA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硫化工正在经历深刻的结构性转型：从过去以农化需求为主导，转向“传统化工+新能源”双轮驱动的新阶段。</w:t>
      </w:r>
    </w:p>
    <w:p w14:paraId="132EE5C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展望2026年，全球硫黄市</w:t>
      </w:r>
      <w:r>
        <w:rPr>
          <w:rFonts w:hint="eastAsia" w:ascii="宋体" w:hAnsi="宋体" w:eastAsia="宋体" w:cs="宋体"/>
          <w:b w:val="0"/>
          <w:bCs/>
          <w:color w:val="000000" w:themeColor="text1"/>
          <w:szCs w:val="21"/>
          <w:lang w:val="en-US" w:eastAsia="zh-CN"/>
          <w14:textFill>
            <w14:solidFill>
              <w14:schemeClr w14:val="tx1"/>
            </w14:solidFill>
          </w14:textFill>
        </w:rPr>
        <w:t>场供需偏紧的</w:t>
      </w:r>
      <w:r>
        <w:rPr>
          <w:rFonts w:hint="eastAsia" w:ascii="宋体" w:hAnsi="宋体" w:eastAsia="宋体" w:cs="宋体"/>
          <w:b w:val="0"/>
          <w:bCs/>
          <w:szCs w:val="21"/>
          <w:lang w:val="en-US" w:eastAsia="zh-CN"/>
        </w:rPr>
        <w:t>格局仍将持续（今年1月8日港口颗粒硫黄价格达到4195元/T）。</w:t>
      </w:r>
    </w:p>
    <w:p w14:paraId="346028E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我省硫酸产业将在“五大率”上进一步深化、细化（即烧出率、净化率、转化率、吸收率、硫利用率），同时将延伸产业链，而且要逐步在产品档次升级上作进一步拓展。</w:t>
      </w:r>
    </w:p>
    <w:p w14:paraId="33C489C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当前硫酸供应保持增长，</w:t>
      </w:r>
      <w:r>
        <w:rPr>
          <w:rFonts w:hint="eastAsia" w:ascii="宋体" w:hAnsi="宋体" w:eastAsia="宋体" w:cs="宋体"/>
          <w:b w:val="0"/>
          <w:bCs/>
          <w:szCs w:val="21"/>
          <w:lang w:eastAsia="zh-CN"/>
        </w:rPr>
        <w:t>强势上行。（受中东局势，俄乌战争等影响；同时受到下游产业链的重大变革等）</w:t>
      </w:r>
    </w:p>
    <w:p w14:paraId="2E59F67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为此，必须创新共同体（上下游要形成合力），因地制宜发展新质生产力。</w:t>
      </w:r>
    </w:p>
    <w:p w14:paraId="5697C177">
      <w:pPr>
        <w:keepNext w:val="0"/>
        <w:keepLines w:val="0"/>
        <w:pageBreakBefore w:val="0"/>
        <w:widowControl w:val="0"/>
        <w:kinsoku/>
        <w:wordWrap/>
        <w:overflowPunct/>
        <w:topLinePunct w:val="0"/>
        <w:autoSpaceDE/>
        <w:autoSpaceDN/>
        <w:bidi w:val="0"/>
        <w:adjustRightInd/>
        <w:snapToGrid/>
        <w:spacing w:line="400" w:lineRule="exact"/>
        <w:ind w:firstLine="426" w:firstLineChars="202"/>
        <w:textAlignment w:val="auto"/>
        <w:rPr>
          <w:rFonts w:hint="eastAsia" w:ascii="宋体" w:hAnsi="宋体" w:eastAsia="宋体" w:cs="宋体"/>
          <w:b/>
          <w:bCs w:val="0"/>
          <w:szCs w:val="21"/>
        </w:rPr>
      </w:pPr>
      <w:r>
        <w:rPr>
          <w:rFonts w:hint="eastAsia" w:ascii="宋体" w:hAnsi="宋体" w:eastAsia="宋体" w:cs="宋体"/>
          <w:b/>
          <w:bCs w:val="0"/>
          <w:szCs w:val="21"/>
        </w:rPr>
        <w:t>四、融入新格局，应对新变化</w:t>
      </w:r>
    </w:p>
    <w:p w14:paraId="6D0AEB3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我们要按照中央1号文件精神，党政同责，上下一心，重整行装再出发，不破楼兰誓不还。</w:t>
      </w:r>
    </w:p>
    <w:p w14:paraId="2196CF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新质生产力的特点是创新、关键在“新”和“质”、本质是先进生产力。发展农业新质生产力科技创新必须打头阵。当前重点要抓好“四向”：一向“新”突破，二向“绿”转型，三向“质”提升；四向“链”发力。既要坚持老本行，又要走出老本行。要加速设备的更新改造，拓展人工智能，大数据、低空等技术的应用。</w:t>
      </w:r>
    </w:p>
    <w:p w14:paraId="1F309C0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中央1号文件明确提出“农药化肥减量增效五年攻坚计划”，要求今年绿色农药覆盖率提升至40%，严控高毒农药登记，采取一证一品，产品出口严格按标准执行。</w:t>
      </w:r>
    </w:p>
    <w:p w14:paraId="483F371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在加快构建新发展格局的理念指引下，我们迎来战略机遇叠加期、发展布局优化期、创新驱动突破期，机遇大于挑战，前景十分广阔。</w:t>
      </w:r>
    </w:p>
    <w:p w14:paraId="50D83B6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为此要抓好三方面工作：</w:t>
      </w:r>
    </w:p>
    <w:p w14:paraId="11DAD5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（一）融入新发展格局</w:t>
      </w:r>
    </w:p>
    <w:p w14:paraId="75CD938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新型肥料的共同特点是高效，即利用率高、节能、节资，符合可持续发展需求。</w:t>
      </w:r>
    </w:p>
    <w:p w14:paraId="7CD0EAB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当前，研发投入逐渐成为衡量一个企业创新机制和创新能力的重要标志，骨干企业要把加大研发投入作为基础性发展的战略，加大产业前沿技术的基础研究，提升开发能力。就磷化工和复合肥企业而言，当前要围绕耕地质量提升、化肥使用零增长、负增长等政策，调动一切技术力量，大力开发生产有机肥、缓控释肥、水溶肥等功能肥和新特肥料，积极适应农资市场变化，促进企业健康发展。</w:t>
      </w:r>
    </w:p>
    <w:p w14:paraId="03C87C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企业要走绿色化工之路。随着国家环保政策日益趋严的形势，一批技术落后、存在污染的企业正在被关停。落后产能的逐步出局，将给绿色清洁生产工艺与技术，减少环境污染。如硫酸、磷肥企业在采用一体化废物处置工艺上有独天独厚的优势，对精细化工中的稀硫酸、稀盐酸、稀磷酸等“废物”可以很好的回收利用，变废为宝，减少废物排量。</w:t>
      </w:r>
    </w:p>
    <w:p w14:paraId="5E2B05C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同时要拓展循环经济的产业链。磷化工及硫酸企业在生产中可以由基础工业级产品向下延伸，如向食品级、试剂级、医药级、电子级高端产品延伸，充分利用企业资源、能源和市场优势，拉长产业链。如我省六国化工公司对本企业产品大力开发，利用副产物磷石膏，将其转变为石膏建材类产品，对副产物力求“吃干榨尽”，既减少环境污染，又增加了效益。该公司已获得国家发改委的首肯与支持（</w:t>
      </w:r>
      <w:r>
        <w:rPr>
          <w:rFonts w:hint="eastAsia" w:ascii="宋体" w:hAnsi="宋体" w:eastAsia="宋体" w:cs="宋体"/>
          <w:b w:val="0"/>
          <w:bCs/>
          <w:szCs w:val="21"/>
          <w:lang w:eastAsia="zh-CN"/>
        </w:rPr>
        <w:t>获得</w:t>
      </w:r>
      <w:r>
        <w:rPr>
          <w:rFonts w:hint="eastAsia" w:ascii="宋体" w:hAnsi="宋体" w:eastAsia="宋体" w:cs="宋体"/>
          <w:b w:val="0"/>
          <w:bCs/>
          <w:szCs w:val="21"/>
        </w:rPr>
        <w:t>中央预算内资金</w:t>
      </w:r>
      <w:r>
        <w:rPr>
          <w:rFonts w:hint="eastAsia" w:ascii="宋体" w:hAnsi="宋体" w:eastAsia="宋体" w:cs="宋体"/>
          <w:b w:val="0"/>
          <w:bCs/>
          <w:szCs w:val="21"/>
          <w:lang w:eastAsia="zh-CN"/>
        </w:rPr>
        <w:t>的</w:t>
      </w:r>
      <w:r>
        <w:rPr>
          <w:rFonts w:hint="eastAsia" w:ascii="宋体" w:hAnsi="宋体" w:eastAsia="宋体" w:cs="宋体"/>
          <w:b w:val="0"/>
          <w:bCs/>
          <w:szCs w:val="21"/>
        </w:rPr>
        <w:t>支持）。</w:t>
      </w:r>
    </w:p>
    <w:p w14:paraId="0ED2085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（二）确立生态新理念，助推农业现代化</w:t>
      </w:r>
    </w:p>
    <w:p w14:paraId="262AA1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农化服务是一个社会化现代农业技术服务系统体系，以科学技术为主导，以农资商品为载体，以农业生产和农资市场协调发展、互惠互利多赢为目标，要大力加大种业翻身仗，包括科研、生产、营销和使用四个主要环节及其系统的不断完善。在现代农业阶段，需要现代农化服务，要用现代新技术，按照作物种植全程解决方案的模式开展推广、示范，提供其个性化和本质需求的产品与服务，不断创造新的种植价值和社会效益。</w:t>
      </w:r>
    </w:p>
    <w:p w14:paraId="6677FBB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农化服务的内容是：</w:t>
      </w:r>
    </w:p>
    <w:p w14:paraId="5F548C6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农化服务是需要从种到收（甚至到餐桌之上，近两年来我省“预制菜”发展迅速）的一个全程解决方案的过程。农化服务是服务农业生产。而农业生产需要多种学科知识来作为实践的基础，这些学科涉及的知识面非常广泛且深奥，服务内容涉及到天文学、种子学、土壤学、肥料学、气象学、植保学、微生物学、病虫害学以及生物防治等学科的知识实践和技术应用。这些知识实践和技术应用需要不断向农业生产的主体——农民、农庄主、承租的种田大户、合作社等进行传播和教授，这个过程需要点点滴滴的进行，这就是农化服务。其内容包括新技术推广、新产品示范、测土配方、作物营养管理、病虫害防治及自然灾害防治等。</w:t>
      </w:r>
    </w:p>
    <w:p w14:paraId="6ACBD50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在为农业服务，特别是化肥企业的农化服务方面，我省很多化肥企业都做了大量工作，他们以不同方式、并在不同程度上做出了积极探索，而取得可喜业绩。他们是：中盐红四方、司尔特、六国、辉隆五禾丰、辉隆中成公司、长丰金正大、白湖农场、莱姆佳、文胜肥业、科邦生态、</w:t>
      </w:r>
      <w:r>
        <w:rPr>
          <w:rFonts w:hint="eastAsia" w:ascii="宋体" w:hAnsi="宋体" w:eastAsia="宋体" w:cs="宋体"/>
          <w:b w:val="0"/>
          <w:bCs/>
          <w:color w:val="000000" w:themeColor="text1"/>
          <w:szCs w:val="21"/>
          <w14:textFill>
            <w14:solidFill>
              <w14:schemeClr w14:val="tx1"/>
            </w14:solidFill>
          </w14:textFill>
        </w:rPr>
        <w:t>丰原、兰田农业、安徽科立华、</w:t>
      </w:r>
      <w:r>
        <w:rPr>
          <w:rFonts w:hint="eastAsia" w:ascii="宋体" w:hAnsi="宋体" w:eastAsia="宋体" w:cs="宋体"/>
          <w:b w:val="0"/>
          <w:bCs/>
          <w:color w:val="000000" w:themeColor="text1"/>
          <w:szCs w:val="21"/>
          <w:lang w:val="en-US" w:eastAsia="zh-CN"/>
          <w14:textFill>
            <w14:solidFill>
              <w14:schemeClr w14:val="tx1"/>
            </w14:solidFill>
          </w14:textFill>
        </w:rPr>
        <w:t>安徽绿洲生态科技、</w:t>
      </w:r>
      <w:r>
        <w:rPr>
          <w:rFonts w:hint="eastAsia" w:ascii="宋体" w:hAnsi="宋体" w:eastAsia="宋体" w:cs="宋体"/>
          <w:b w:val="0"/>
          <w:bCs/>
          <w:color w:val="000000" w:themeColor="text1"/>
          <w:szCs w:val="21"/>
          <w14:textFill>
            <w14:solidFill>
              <w14:schemeClr w14:val="tx1"/>
            </w14:solidFill>
          </w14:textFill>
        </w:rPr>
        <w:t>肥西爱莲农庄、安徽伽雅生态公司、凤台农庄、</w:t>
      </w:r>
      <w:r>
        <w:rPr>
          <w:rFonts w:hint="eastAsia" w:ascii="宋体" w:hAnsi="宋体" w:eastAsia="宋体" w:cs="宋体"/>
          <w:b w:val="0"/>
          <w:bCs/>
          <w:szCs w:val="21"/>
        </w:rPr>
        <w:t>宝瑞达公司、帝元公司、定兴肥业、文峰肥业、天享肥业、宿州中元、怀远中远、惠农肥业、华沃生态、撞种肥业、喜洋洋现代农业、吴源界首公司、东兴公司、中能化工、涡阳金禾、宏宇、茂施、金大、霍邱金蓼、瑞虎、金农生态、六安金田生物、田宝、禾源、嘉禾、临泉金大、砀山天河肥业、东方红肥业、惠禾壮、撞钟肥业、十五月农庄、丰田居农庄、滁州国盛公司（飞防、无人机60台）；丰乐农化、华星化工、久易农业、众邦生物、瑞辰集团、辉隆药业、陆野药业；江淮园艺、荃银种业、隆平高科、兆和种业、垦丰种业；安徽“三农”传媒、华韵生物、青峰岭农业科技公司、滁州给力肥料科技有限公司、岳西卓越科技公司、过湾科技公司、天方茶叶公司、万顺茶叶有限公司、无为有机肥公司、“王仁和”米线公司、霍山沁徽堂生物科技、六安胜缘公司、肥东誉淮食品有限公司、蓝田农业、思福、朴茂、荃银高科、鸿征、洽洽食品、淮南白蓝</w:t>
      </w:r>
      <w:r>
        <w:rPr>
          <w:rFonts w:hint="eastAsia" w:ascii="宋体" w:hAnsi="宋体" w:eastAsia="宋体" w:cs="宋体"/>
          <w:b w:val="0"/>
          <w:bCs/>
          <w:szCs w:val="21"/>
          <w:lang w:eastAsia="zh-CN"/>
        </w:rPr>
        <w:t>集团</w:t>
      </w:r>
      <w:r>
        <w:rPr>
          <w:rFonts w:hint="eastAsia" w:ascii="宋体" w:hAnsi="宋体" w:eastAsia="宋体" w:cs="宋体"/>
          <w:b w:val="0"/>
          <w:bCs/>
          <w:szCs w:val="21"/>
        </w:rPr>
        <w:t>、安徽喜田生物科技、一公里品牌咨询公司、金六保公司、中科图知天下大数据公司、悦禾生物</w:t>
      </w:r>
      <w:r>
        <w:rPr>
          <w:rFonts w:hint="eastAsia" w:ascii="宋体" w:hAnsi="宋体" w:eastAsia="宋体" w:cs="宋体"/>
          <w:b w:val="0"/>
          <w:bCs/>
          <w:szCs w:val="21"/>
          <w:lang w:eastAsia="zh-CN"/>
        </w:rPr>
        <w:t>、</w:t>
      </w:r>
      <w:r>
        <w:rPr>
          <w:rFonts w:hint="eastAsia" w:ascii="宋体" w:hAnsi="宋体" w:eastAsia="宋体" w:cs="宋体"/>
          <w:b w:val="0"/>
          <w:bCs/>
          <w:szCs w:val="21"/>
          <w:lang w:val="en-US" w:eastAsia="zh-CN"/>
        </w:rPr>
        <w:t>利丰有机肥、马头山农庄</w:t>
      </w:r>
      <w:r>
        <w:rPr>
          <w:rFonts w:hint="eastAsia" w:ascii="宋体" w:hAnsi="宋体" w:eastAsia="宋体" w:cs="宋体"/>
          <w:b w:val="0"/>
          <w:bCs/>
          <w:szCs w:val="21"/>
          <w:lang w:eastAsia="zh-CN"/>
        </w:rPr>
        <w:t>、厚源农垦生物科技公司等</w:t>
      </w:r>
      <w:r>
        <w:rPr>
          <w:rFonts w:hint="eastAsia" w:ascii="宋体" w:hAnsi="宋体" w:eastAsia="宋体" w:cs="宋体"/>
          <w:b w:val="0"/>
          <w:bCs/>
          <w:szCs w:val="21"/>
        </w:rPr>
        <w:t>。</w:t>
      </w:r>
    </w:p>
    <w:p w14:paraId="30B4B3A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隆平高科、荃银高科是国内杂交水稻的龙头企业，深度参与育种的科研及生产基地建设。</w:t>
      </w:r>
    </w:p>
    <w:p w14:paraId="240AC3E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现在化肥市场竞争越来越激烈（磷矿石供应紧张等），化肥生产利润越来越薄，企业盈利越来越艰难。但事实上，不仅可以靠卖产品赚钱，好的服务也可以为企业创造利润。对农民来说优质产品和优质服务同样重要。买到优质肥不难，但买到优质服务却很难。目前农业服务正方兴未等，今后大有发展空间，为此，必须与时俱进。</w:t>
      </w:r>
    </w:p>
    <w:p w14:paraId="5F602EB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农业服务和农化服务应紧接地气，形式多样。</w:t>
      </w:r>
    </w:p>
    <w:p w14:paraId="411EC64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首先肥料生产企业应避免盲目求新、求特，应致力求真，致力于保障产品质量和提升产品功效，以绿色、高效的肥料满足农业种植和生态环境的需要，以理性、长远的态度推动行业的绿色升级。</w:t>
      </w:r>
    </w:p>
    <w:p w14:paraId="7D30BB5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要想抓好粮食安全，必须抓好土壤安全，构建好土壤优质耕作层，切实推动土壤改良、农作物品种培优、品质提升、品质打造和标准化生产。农化企业既要围绕土地土壤肥力、解决土壤重金属污染及土壤板结等突出问题开展研究，又要重视中微量元素肥料的应用开发，同时要加强农村施肥用药等科普工作，转变传统粗放的施肥用药模式。</w:t>
      </w:r>
    </w:p>
    <w:p w14:paraId="2FA871D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化肥企业应结合当地实际情况，制定具体目标和方案，推出战略，以种植为核心，以信息、技术服务为中心，以示范为抓手，提供线上线下一体化综合解决方案，帮助种植户种出好品质、卖出好价钱。要把生产互联网与营销互联网相串联和有机衔接。</w:t>
      </w:r>
    </w:p>
    <w:p w14:paraId="0C3761E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农业的发展格局应体现特色化、生态化、智能化与互联网化。</w:t>
      </w:r>
    </w:p>
    <w:p w14:paraId="4BAF687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eastAsia="zh-CN"/>
        </w:rPr>
        <w:t>目前，企业同质化竞争，产品销售“内卷”厉害，企业必须正视形势、找准定位；一方面应从“规模扩张”向“科技突围”转型；另一方面应当认真研究如何从“红海”奔向“蓝海”；这两个方面应当是行业与企业的一项重要命题。</w:t>
      </w:r>
    </w:p>
    <w:p w14:paraId="7A1A748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化工、化肥企业要像安徽中能晋煤公司、安徽曙光化工、河南心连心、昊源化工、中盐红四方肥业公司等学习，避免内卷，异地出省发展，他们已在新疆发展多年，艰辛创业，业绩突出，成绩辉煌。</w:t>
      </w:r>
    </w:p>
    <w:p w14:paraId="26759D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早出去早主动，这既是总结，更是经验！</w:t>
      </w:r>
    </w:p>
    <w:p w14:paraId="32D3066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（三）化肥硫酸企业要与时俱进，切实重视好对数字化转型的认识。</w:t>
      </w:r>
    </w:p>
    <w:p w14:paraId="5938B4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要按照国家发改委、中央网信办关于“上云用数赋智”进一步深化、细化、落实，将助力中小微企业数字化转型发展。</w:t>
      </w:r>
    </w:p>
    <w:p w14:paraId="127A95A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发展，脱离不了时代。一鹊巢鸠占展路上的问题。都折射出与时代、现实和规律的格格不入。推动农村发展，必然要置于数字化发展的时代流潮中考量。只有吹进时代的新鲜空气、发展的新理念、致富的新思路，才能铺牢振兴轨道，与时代同向共行。六国化工，在创新探求中，依托物联网技术的设备在线状态监测，使设备管理进入数字化的新时期。</w:t>
      </w:r>
    </w:p>
    <w:p w14:paraId="4472DAE6">
      <w:pPr>
        <w:keepNext w:val="0"/>
        <w:keepLines w:val="0"/>
        <w:pageBreakBefore w:val="0"/>
        <w:widowControl w:val="0"/>
        <w:kinsoku/>
        <w:wordWrap/>
        <w:overflowPunct/>
        <w:topLinePunct w:val="0"/>
        <w:autoSpaceDE/>
        <w:autoSpaceDN/>
        <w:bidi w:val="0"/>
        <w:adjustRightInd/>
        <w:snapToGrid/>
        <w:spacing w:line="400" w:lineRule="exact"/>
        <w:ind w:firstLine="396" w:firstLineChars="200"/>
        <w:textAlignment w:val="auto"/>
        <w:rPr>
          <w:rFonts w:hint="eastAsia" w:ascii="宋体" w:hAnsi="宋体" w:eastAsia="宋体" w:cs="宋体"/>
          <w:b w:val="0"/>
          <w:bCs/>
          <w:szCs w:val="21"/>
        </w:rPr>
      </w:pPr>
      <w:r>
        <w:rPr>
          <w:rFonts w:hint="eastAsia" w:ascii="宋体" w:hAnsi="宋体" w:eastAsia="宋体" w:cs="宋体"/>
          <w:b w:val="0"/>
          <w:bCs/>
          <w:spacing w:val="-6"/>
          <w:sz w:val="21"/>
          <w:szCs w:val="21"/>
        </w:rPr>
        <w:t>乡村5G的创新应用、打造农村电商产品品牌、建设新农民、新技术创业创新中心……亿万农村人口，期待吹来更多数字化发展的新机遇，让他们在知数字、懂数字、建数字、用数字中，缩小城乡“数字鸿沟”，共享数字经济的红利，踏上致富幸福之路，绘就农业强、农村美、农民富的美好图景。“农业发展、农村振兴、农业富裕”是我们农化企业为之奋斗的大目标</w:t>
      </w:r>
      <w:r>
        <w:rPr>
          <w:rFonts w:hint="eastAsia" w:ascii="宋体" w:hAnsi="宋体" w:eastAsia="宋体" w:cs="宋体"/>
          <w:b w:val="0"/>
          <w:bCs/>
          <w:szCs w:val="21"/>
        </w:rPr>
        <w:t>。</w:t>
      </w:r>
    </w:p>
    <w:p w14:paraId="067F0FB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征途漫漫，惟有奋斗！</w:t>
      </w:r>
    </w:p>
    <w:p w14:paraId="3B12D34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Cs w:val="21"/>
        </w:rPr>
      </w:pPr>
      <w:r>
        <w:rPr>
          <w:rFonts w:hint="eastAsia" w:ascii="宋体" w:hAnsi="宋体" w:eastAsia="宋体" w:cs="宋体"/>
          <w:b w:val="0"/>
          <w:bCs/>
          <w:szCs w:val="21"/>
        </w:rPr>
        <w:t>今年，是我国实施“十</w:t>
      </w:r>
      <w:r>
        <w:rPr>
          <w:rFonts w:hint="eastAsia" w:ascii="宋体" w:hAnsi="宋体" w:eastAsia="宋体" w:cs="宋体"/>
          <w:b w:val="0"/>
          <w:bCs/>
          <w:szCs w:val="21"/>
          <w:lang w:eastAsia="zh-CN"/>
        </w:rPr>
        <w:t>五</w:t>
      </w:r>
      <w:r>
        <w:rPr>
          <w:rFonts w:hint="eastAsia" w:ascii="宋体" w:hAnsi="宋体" w:eastAsia="宋体" w:cs="宋体"/>
          <w:b w:val="0"/>
          <w:bCs/>
          <w:szCs w:val="21"/>
        </w:rPr>
        <w:t>五”规划</w:t>
      </w:r>
      <w:r>
        <w:rPr>
          <w:rFonts w:hint="eastAsia" w:ascii="宋体" w:hAnsi="宋体" w:eastAsia="宋体" w:cs="宋体"/>
          <w:b w:val="0"/>
          <w:bCs/>
          <w:szCs w:val="21"/>
          <w:lang w:val="en-US" w:eastAsia="zh-CN"/>
        </w:rPr>
        <w:t>的开局之</w:t>
      </w:r>
      <w:r>
        <w:rPr>
          <w:rFonts w:hint="eastAsia" w:ascii="宋体" w:hAnsi="宋体" w:eastAsia="宋体" w:cs="宋体"/>
          <w:b w:val="0"/>
          <w:bCs/>
          <w:szCs w:val="21"/>
        </w:rPr>
        <w:t>年，也是我省</w:t>
      </w:r>
      <w:r>
        <w:rPr>
          <w:rFonts w:hint="eastAsia" w:ascii="宋体" w:hAnsi="宋体" w:eastAsia="宋体" w:cs="宋体"/>
          <w:b w:val="0"/>
          <w:bCs/>
          <w:szCs w:val="21"/>
          <w:lang w:eastAsia="zh-CN"/>
        </w:rPr>
        <w:t>化工行业（</w:t>
      </w:r>
      <w:r>
        <w:rPr>
          <w:rFonts w:hint="eastAsia" w:ascii="宋体" w:hAnsi="宋体" w:eastAsia="宋体" w:cs="宋体"/>
          <w:b w:val="0"/>
          <w:bCs/>
          <w:szCs w:val="21"/>
        </w:rPr>
        <w:t>化肥行业硫酸产业</w:t>
      </w:r>
      <w:r>
        <w:rPr>
          <w:rFonts w:hint="eastAsia" w:ascii="宋体" w:hAnsi="宋体" w:eastAsia="宋体" w:cs="宋体"/>
          <w:b w:val="0"/>
          <w:bCs/>
          <w:szCs w:val="21"/>
          <w:lang w:eastAsia="zh-CN"/>
        </w:rPr>
        <w:t>）</w:t>
      </w:r>
      <w:r>
        <w:rPr>
          <w:rFonts w:hint="eastAsia" w:ascii="宋体" w:hAnsi="宋体" w:eastAsia="宋体" w:cs="宋体"/>
          <w:b w:val="0"/>
          <w:bCs/>
          <w:szCs w:val="21"/>
        </w:rPr>
        <w:t>“提质增效管理年”，我们要沿着绿色高质量因地制宜发展新质生产力为目标</w:t>
      </w:r>
      <w:r>
        <w:rPr>
          <w:rFonts w:hint="eastAsia" w:ascii="宋体" w:hAnsi="宋体" w:eastAsia="宋体" w:cs="宋体"/>
          <w:b w:val="0"/>
          <w:bCs/>
          <w:szCs w:val="21"/>
          <w:lang w:val="en-US" w:eastAsia="zh-CN"/>
        </w:rPr>
        <w:t>而努力</w:t>
      </w:r>
      <w:r>
        <w:rPr>
          <w:rFonts w:hint="eastAsia" w:ascii="宋体" w:hAnsi="宋体" w:eastAsia="宋体" w:cs="宋体"/>
          <w:b w:val="0"/>
          <w:bCs/>
          <w:szCs w:val="21"/>
        </w:rPr>
        <w:t>。</w:t>
      </w:r>
    </w:p>
    <w:p w14:paraId="4C3E54D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szCs w:val="21"/>
          <w:lang w:eastAsia="zh-CN"/>
        </w:rPr>
      </w:pPr>
      <w:r>
        <w:rPr>
          <w:rFonts w:hint="eastAsia" w:ascii="宋体" w:hAnsi="宋体" w:eastAsia="宋体" w:cs="宋体"/>
          <w:b w:val="0"/>
          <w:bCs/>
          <w:szCs w:val="21"/>
          <w:lang w:eastAsia="zh-CN"/>
        </w:rPr>
        <w:t>征程万里风正劲，奋力前行启新篇！</w:t>
      </w:r>
    </w:p>
    <w:p w14:paraId="2A25124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szCs w:val="21"/>
        </w:rPr>
      </w:pPr>
      <w:r>
        <w:rPr>
          <w:rFonts w:hint="eastAsia" w:ascii="宋体" w:hAnsi="宋体" w:eastAsia="宋体" w:cs="宋体"/>
          <w:b w:val="0"/>
          <w:bCs/>
          <w:szCs w:val="21"/>
        </w:rPr>
        <w:t>展望未来，我们踔厉奋发、笃行不怠、跟上靠下抓自己。</w:t>
      </w:r>
    </w:p>
    <w:p w14:paraId="25F24D6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szCs w:val="21"/>
        </w:rPr>
      </w:pPr>
      <w:r>
        <w:rPr>
          <w:rFonts w:hint="eastAsia" w:ascii="宋体" w:hAnsi="宋体" w:eastAsia="宋体" w:cs="宋体"/>
          <w:b w:val="0"/>
          <w:bCs/>
          <w:szCs w:val="21"/>
        </w:rPr>
        <w:t>总之要坚定信心、践行时代的新担当，为服务“三农”，振兴乡村，抓好化肥硫酸产业，做出新的更大贡献！</w:t>
      </w:r>
    </w:p>
    <w:p w14:paraId="2E48C20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lang w:val="en-US" w:eastAsia="zh-CN"/>
        </w:rPr>
      </w:pPr>
    </w:p>
    <w:p w14:paraId="4266F54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Cs w:val="21"/>
        </w:rPr>
      </w:pPr>
    </w:p>
    <w:p w14:paraId="7399C6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B3EEC"/>
    <w:rsid w:val="00FD2258"/>
    <w:rsid w:val="01520363"/>
    <w:rsid w:val="01C963F3"/>
    <w:rsid w:val="01DE1C5C"/>
    <w:rsid w:val="02203B3A"/>
    <w:rsid w:val="02B86B51"/>
    <w:rsid w:val="03304250"/>
    <w:rsid w:val="0374238F"/>
    <w:rsid w:val="03A5079A"/>
    <w:rsid w:val="03C527A5"/>
    <w:rsid w:val="04CC1D57"/>
    <w:rsid w:val="04DC643E"/>
    <w:rsid w:val="056106F1"/>
    <w:rsid w:val="05AE130F"/>
    <w:rsid w:val="062077BC"/>
    <w:rsid w:val="065F10D4"/>
    <w:rsid w:val="0730481F"/>
    <w:rsid w:val="076E5F7E"/>
    <w:rsid w:val="07B471FE"/>
    <w:rsid w:val="07C05BA3"/>
    <w:rsid w:val="07E3246F"/>
    <w:rsid w:val="07F7358F"/>
    <w:rsid w:val="08564759"/>
    <w:rsid w:val="08BA0844"/>
    <w:rsid w:val="091A7E4E"/>
    <w:rsid w:val="09931095"/>
    <w:rsid w:val="09F00295"/>
    <w:rsid w:val="0A4B20AA"/>
    <w:rsid w:val="0AFF2E86"/>
    <w:rsid w:val="0B664CB3"/>
    <w:rsid w:val="0C0E77A3"/>
    <w:rsid w:val="0C2B45A8"/>
    <w:rsid w:val="0C580AA0"/>
    <w:rsid w:val="0C8E44C1"/>
    <w:rsid w:val="0CDE6ACB"/>
    <w:rsid w:val="0CE82491"/>
    <w:rsid w:val="0CF56428"/>
    <w:rsid w:val="0D525F6F"/>
    <w:rsid w:val="0DA11FD2"/>
    <w:rsid w:val="0E470192"/>
    <w:rsid w:val="0E792F4F"/>
    <w:rsid w:val="0EC8358F"/>
    <w:rsid w:val="0F543075"/>
    <w:rsid w:val="0FF00FEF"/>
    <w:rsid w:val="0FF705D0"/>
    <w:rsid w:val="102313C5"/>
    <w:rsid w:val="103C5A23"/>
    <w:rsid w:val="10523A58"/>
    <w:rsid w:val="10667503"/>
    <w:rsid w:val="108035FE"/>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616F2E"/>
    <w:rsid w:val="191221DB"/>
    <w:rsid w:val="19800B64"/>
    <w:rsid w:val="19836A30"/>
    <w:rsid w:val="199944A6"/>
    <w:rsid w:val="19FD4A34"/>
    <w:rsid w:val="1A533F79"/>
    <w:rsid w:val="1A5A1E87"/>
    <w:rsid w:val="1B2F179A"/>
    <w:rsid w:val="1B6F3710"/>
    <w:rsid w:val="1C250273"/>
    <w:rsid w:val="1D01483C"/>
    <w:rsid w:val="1D5D57EA"/>
    <w:rsid w:val="1E171E3D"/>
    <w:rsid w:val="1EBA2EF4"/>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F37C49"/>
    <w:rsid w:val="2C1A3224"/>
    <w:rsid w:val="2C5F332D"/>
    <w:rsid w:val="2CDC497D"/>
    <w:rsid w:val="2DA03BFD"/>
    <w:rsid w:val="2DD45655"/>
    <w:rsid w:val="2EC67693"/>
    <w:rsid w:val="2EE30245"/>
    <w:rsid w:val="2F087CAC"/>
    <w:rsid w:val="2F0E4B96"/>
    <w:rsid w:val="2F1A353B"/>
    <w:rsid w:val="2F1F6DA3"/>
    <w:rsid w:val="2F633134"/>
    <w:rsid w:val="2F882B9B"/>
    <w:rsid w:val="2FA86D99"/>
    <w:rsid w:val="312F3756"/>
    <w:rsid w:val="31496359"/>
    <w:rsid w:val="315E0057"/>
    <w:rsid w:val="318D4498"/>
    <w:rsid w:val="3199108F"/>
    <w:rsid w:val="319F16AA"/>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EE53FF"/>
    <w:rsid w:val="43E4263E"/>
    <w:rsid w:val="45554E75"/>
    <w:rsid w:val="459D60E3"/>
    <w:rsid w:val="45E5444B"/>
    <w:rsid w:val="46362EF9"/>
    <w:rsid w:val="465515D1"/>
    <w:rsid w:val="468E4AE3"/>
    <w:rsid w:val="46F54E2D"/>
    <w:rsid w:val="46FD57C4"/>
    <w:rsid w:val="47925F0D"/>
    <w:rsid w:val="47A143DA"/>
    <w:rsid w:val="48B545A9"/>
    <w:rsid w:val="495C0DBE"/>
    <w:rsid w:val="49CB1BAA"/>
    <w:rsid w:val="4A070E34"/>
    <w:rsid w:val="4A4F4589"/>
    <w:rsid w:val="4AB60164"/>
    <w:rsid w:val="4B8E06C7"/>
    <w:rsid w:val="4C934BC0"/>
    <w:rsid w:val="4CFB09F8"/>
    <w:rsid w:val="4D057181"/>
    <w:rsid w:val="4D5123C6"/>
    <w:rsid w:val="4D6B792C"/>
    <w:rsid w:val="4DA16EA9"/>
    <w:rsid w:val="4DED1912"/>
    <w:rsid w:val="4E257ADB"/>
    <w:rsid w:val="4E353A96"/>
    <w:rsid w:val="4EAD187E"/>
    <w:rsid w:val="4EB175C0"/>
    <w:rsid w:val="4EB62E28"/>
    <w:rsid w:val="4F78309C"/>
    <w:rsid w:val="50A20D13"/>
    <w:rsid w:val="50AF7B2F"/>
    <w:rsid w:val="50B02F71"/>
    <w:rsid w:val="50C26CF2"/>
    <w:rsid w:val="50EC0D83"/>
    <w:rsid w:val="50FE0CB7"/>
    <w:rsid w:val="512D188F"/>
    <w:rsid w:val="51363DAD"/>
    <w:rsid w:val="513B5867"/>
    <w:rsid w:val="51EC090F"/>
    <w:rsid w:val="51FB00AC"/>
    <w:rsid w:val="5242103E"/>
    <w:rsid w:val="52E57838"/>
    <w:rsid w:val="542B3971"/>
    <w:rsid w:val="54335EE7"/>
    <w:rsid w:val="5463310B"/>
    <w:rsid w:val="54AF45A2"/>
    <w:rsid w:val="54C142D5"/>
    <w:rsid w:val="55254864"/>
    <w:rsid w:val="553C395C"/>
    <w:rsid w:val="55BA1450"/>
    <w:rsid w:val="56037691"/>
    <w:rsid w:val="56135E24"/>
    <w:rsid w:val="564017AC"/>
    <w:rsid w:val="567B0721"/>
    <w:rsid w:val="56F97D56"/>
    <w:rsid w:val="57081D47"/>
    <w:rsid w:val="57E97DCB"/>
    <w:rsid w:val="583059FA"/>
    <w:rsid w:val="5847689F"/>
    <w:rsid w:val="58532B2C"/>
    <w:rsid w:val="58C47EF0"/>
    <w:rsid w:val="596F60AE"/>
    <w:rsid w:val="5A2A0227"/>
    <w:rsid w:val="5A7B0A82"/>
    <w:rsid w:val="5B0311A3"/>
    <w:rsid w:val="5BFE5E0F"/>
    <w:rsid w:val="5CAA564F"/>
    <w:rsid w:val="5E361890"/>
    <w:rsid w:val="5EDA046D"/>
    <w:rsid w:val="5EE237C6"/>
    <w:rsid w:val="5EFF7ED4"/>
    <w:rsid w:val="5F7679C4"/>
    <w:rsid w:val="5F7F2DC3"/>
    <w:rsid w:val="5FBF1411"/>
    <w:rsid w:val="601A09BC"/>
    <w:rsid w:val="60395667"/>
    <w:rsid w:val="610D33E8"/>
    <w:rsid w:val="615E35D8"/>
    <w:rsid w:val="619568CD"/>
    <w:rsid w:val="61E67129"/>
    <w:rsid w:val="62CC27C3"/>
    <w:rsid w:val="635A7DCF"/>
    <w:rsid w:val="637D586B"/>
    <w:rsid w:val="63872EA4"/>
    <w:rsid w:val="63F26259"/>
    <w:rsid w:val="640A365A"/>
    <w:rsid w:val="640E2967"/>
    <w:rsid w:val="64754794"/>
    <w:rsid w:val="64FD7B2B"/>
    <w:rsid w:val="657B402C"/>
    <w:rsid w:val="65C07C91"/>
    <w:rsid w:val="66CA526B"/>
    <w:rsid w:val="67DD0FCE"/>
    <w:rsid w:val="687A681D"/>
    <w:rsid w:val="68D73C6F"/>
    <w:rsid w:val="690B56C7"/>
    <w:rsid w:val="696A4D66"/>
    <w:rsid w:val="699456BD"/>
    <w:rsid w:val="6A4E3ABD"/>
    <w:rsid w:val="6A9A31A7"/>
    <w:rsid w:val="6AD06BC8"/>
    <w:rsid w:val="6B3929BF"/>
    <w:rsid w:val="6B3D425E"/>
    <w:rsid w:val="6B431148"/>
    <w:rsid w:val="6B56531F"/>
    <w:rsid w:val="6BB8040C"/>
    <w:rsid w:val="6C5C6966"/>
    <w:rsid w:val="6C6E5E1A"/>
    <w:rsid w:val="6C8E2897"/>
    <w:rsid w:val="6CDF30F3"/>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258197D"/>
    <w:rsid w:val="730241B0"/>
    <w:rsid w:val="731A1328"/>
    <w:rsid w:val="73587D13"/>
    <w:rsid w:val="743B50B2"/>
    <w:rsid w:val="74BF5CE3"/>
    <w:rsid w:val="750977D2"/>
    <w:rsid w:val="75693EA1"/>
    <w:rsid w:val="75B25848"/>
    <w:rsid w:val="766528BB"/>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0"/>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autoRedefine/>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autoRedefine/>
    <w:qFormat/>
    <w:uiPriority w:val="0"/>
    <w:pPr>
      <w:spacing w:after="120" w:afterLines="0" w:afterAutospacing="0"/>
    </w:pPr>
  </w:style>
  <w:style w:type="paragraph" w:styleId="7">
    <w:name w:val="footer"/>
    <w:basedOn w:val="1"/>
    <w:link w:val="25"/>
    <w:autoRedefine/>
    <w:unhideWhenUsed/>
    <w:qFormat/>
    <w:uiPriority w:val="99"/>
    <w:pPr>
      <w:tabs>
        <w:tab w:val="center" w:pos="4153"/>
        <w:tab w:val="right" w:pos="8306"/>
      </w:tabs>
      <w:snapToGrid w:val="0"/>
      <w:jc w:val="left"/>
    </w:pPr>
    <w:rPr>
      <w:sz w:val="18"/>
      <w:szCs w:val="18"/>
    </w:rPr>
  </w:style>
  <w:style w:type="paragraph" w:styleId="8">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7"/>
    <w:autoRedefine/>
    <w:qFormat/>
    <w:uiPriority w:val="0"/>
    <w:pPr>
      <w:spacing w:line="400" w:lineRule="exact"/>
      <w:jc w:val="center"/>
    </w:pPr>
    <w:rPr>
      <w:rFonts w:ascii="Calibri" w:hAnsi="Calibri" w:eastAsia="楷体" w:cs="Times New Roman"/>
      <w:b/>
      <w:bCs/>
      <w:kern w:val="28"/>
      <w:szCs w:val="32"/>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5"/>
    <w:next w:val="1"/>
    <w:link w:val="23"/>
    <w:qFormat/>
    <w:uiPriority w:val="10"/>
    <w:pPr>
      <w:adjustRightInd w:val="0"/>
      <w:snapToGrid w:val="0"/>
      <w:spacing w:before="0" w:after="0" w:line="360" w:lineRule="auto"/>
      <w:jc w:val="center"/>
    </w:pPr>
    <w:rPr>
      <w:rFonts w:ascii="黑体" w:hAnsi="黑体" w:eastAsia="黑体" w:cs="黑体"/>
      <w:sz w:val="24"/>
      <w:szCs w:val="24"/>
    </w:rPr>
  </w:style>
  <w:style w:type="paragraph" w:styleId="12">
    <w:name w:val="Body Text First Indent"/>
    <w:basedOn w:val="6"/>
    <w:autoRedefine/>
    <w:qFormat/>
    <w:uiPriority w:val="0"/>
    <w:pPr>
      <w:ind w:firstLine="420" w:firstLineChars="100"/>
    </w:pPr>
  </w:style>
  <w:style w:type="table" w:styleId="14">
    <w:name w:val="Table Grid"/>
    <w:basedOn w:val="13"/>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0正文"/>
    <w:basedOn w:val="1"/>
    <w:qFormat/>
    <w:uiPriority w:val="0"/>
    <w:pPr>
      <w:ind w:firstLine="480" w:firstLineChars="200"/>
    </w:pPr>
  </w:style>
  <w:style w:type="character" w:customStyle="1" w:styleId="19">
    <w:name w:val="标题 2 字符"/>
    <w:basedOn w:val="15"/>
    <w:autoRedefine/>
    <w:semiHidden/>
    <w:qFormat/>
    <w:uiPriority w:val="9"/>
    <w:rPr>
      <w:rFonts w:asciiTheme="majorHAnsi" w:hAnsiTheme="majorHAnsi" w:eastAsiaTheme="majorEastAsia" w:cstheme="majorBidi"/>
      <w:b/>
      <w:bCs/>
      <w:sz w:val="32"/>
      <w:szCs w:val="32"/>
    </w:rPr>
  </w:style>
  <w:style w:type="character" w:customStyle="1" w:styleId="20">
    <w:name w:val="标题 2 字符1"/>
    <w:link w:val="3"/>
    <w:autoRedefine/>
    <w:qFormat/>
    <w:uiPriority w:val="9"/>
    <w:rPr>
      <w:rFonts w:ascii="宋体" w:hAnsi="宋体" w:eastAsia="宋体" w:cs="宋体"/>
      <w:b/>
      <w:bCs/>
      <w:kern w:val="0"/>
      <w:sz w:val="28"/>
      <w:szCs w:val="28"/>
    </w:rPr>
  </w:style>
  <w:style w:type="character" w:customStyle="1" w:styleId="21">
    <w:name w:val="标题 3 字符"/>
    <w:basedOn w:val="15"/>
    <w:link w:val="4"/>
    <w:autoRedefine/>
    <w:semiHidden/>
    <w:qFormat/>
    <w:uiPriority w:val="9"/>
    <w:rPr>
      <w:b/>
      <w:bCs/>
      <w:sz w:val="32"/>
      <w:szCs w:val="32"/>
    </w:rPr>
  </w:style>
  <w:style w:type="character" w:customStyle="1" w:styleId="22">
    <w:name w:val="标题 4 字符"/>
    <w:basedOn w:val="15"/>
    <w:link w:val="5"/>
    <w:autoRedefine/>
    <w:semiHidden/>
    <w:qFormat/>
    <w:uiPriority w:val="9"/>
    <w:rPr>
      <w:rFonts w:asciiTheme="majorHAnsi" w:hAnsiTheme="majorHAnsi" w:eastAsiaTheme="majorEastAsia" w:cstheme="majorBidi"/>
      <w:b/>
      <w:bCs/>
      <w:sz w:val="28"/>
      <w:szCs w:val="28"/>
    </w:rPr>
  </w:style>
  <w:style w:type="character" w:customStyle="1" w:styleId="23">
    <w:name w:val="标题 字符"/>
    <w:basedOn w:val="15"/>
    <w:link w:val="11"/>
    <w:autoRedefine/>
    <w:qFormat/>
    <w:uiPriority w:val="10"/>
    <w:rPr>
      <w:rFonts w:ascii="黑体" w:hAnsi="黑体" w:eastAsia="黑体" w:cs="黑体"/>
      <w:b/>
      <w:bCs/>
      <w:sz w:val="24"/>
      <w:szCs w:val="24"/>
    </w:rPr>
  </w:style>
  <w:style w:type="character" w:customStyle="1" w:styleId="24">
    <w:name w:val="页眉 字符"/>
    <w:basedOn w:val="15"/>
    <w:link w:val="8"/>
    <w:autoRedefine/>
    <w:qFormat/>
    <w:uiPriority w:val="99"/>
    <w:rPr>
      <w:sz w:val="18"/>
      <w:szCs w:val="18"/>
    </w:rPr>
  </w:style>
  <w:style w:type="character" w:customStyle="1" w:styleId="25">
    <w:name w:val="页脚 字符"/>
    <w:basedOn w:val="15"/>
    <w:link w:val="7"/>
    <w:autoRedefine/>
    <w:qFormat/>
    <w:uiPriority w:val="99"/>
    <w:rPr>
      <w:sz w:val="18"/>
      <w:szCs w:val="18"/>
    </w:rPr>
  </w:style>
  <w:style w:type="character" w:customStyle="1" w:styleId="26">
    <w:name w:val="标题 1 字符"/>
    <w:basedOn w:val="15"/>
    <w:link w:val="2"/>
    <w:autoRedefine/>
    <w:qFormat/>
    <w:uiPriority w:val="0"/>
    <w:rPr>
      <w:rFonts w:ascii="Calibri" w:hAnsi="Calibri" w:eastAsia="宋体" w:cs="Times New Roman"/>
      <w:b/>
      <w:bCs/>
      <w:kern w:val="44"/>
      <w:sz w:val="44"/>
      <w:szCs w:val="44"/>
    </w:rPr>
  </w:style>
  <w:style w:type="character" w:customStyle="1" w:styleId="27">
    <w:name w:val="副标题 字符"/>
    <w:basedOn w:val="15"/>
    <w:link w:val="9"/>
    <w:autoRedefine/>
    <w:qFormat/>
    <w:uiPriority w:val="0"/>
    <w:rPr>
      <w:rFonts w:ascii="Calibri" w:hAnsi="Calibri" w:eastAsia="楷体" w:cs="Times New Roman"/>
      <w:b/>
      <w:bCs/>
      <w:kern w:val="28"/>
      <w:szCs w:val="32"/>
    </w:rPr>
  </w:style>
  <w:style w:type="paragraph" w:styleId="28">
    <w:name w:val="List Paragraph"/>
    <w:basedOn w:val="1"/>
    <w:autoRedefine/>
    <w:qFormat/>
    <w:uiPriority w:val="34"/>
    <w:pPr>
      <w:ind w:firstLine="420" w:firstLineChars="200"/>
    </w:pPr>
  </w:style>
  <w:style w:type="paragraph" w:customStyle="1" w:styleId="29">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0">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1">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2">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3">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4">
    <w:name w:val="font31"/>
    <w:basedOn w:val="15"/>
    <w:qFormat/>
    <w:uiPriority w:val="0"/>
    <w:rPr>
      <w:rFonts w:hint="eastAsia" w:ascii="华文楷体" w:hAnsi="华文楷体" w:eastAsia="华文楷体" w:cs="华文楷体"/>
      <w:color w:val="000000"/>
      <w:sz w:val="22"/>
      <w:szCs w:val="22"/>
      <w:u w:val="none"/>
      <w:vertAlign w:val="subscript"/>
    </w:rPr>
  </w:style>
  <w:style w:type="character" w:customStyle="1" w:styleId="35">
    <w:name w:val="font21"/>
    <w:basedOn w:val="15"/>
    <w:qFormat/>
    <w:uiPriority w:val="0"/>
    <w:rPr>
      <w:rFonts w:hint="eastAsia" w:ascii="华文楷体" w:hAnsi="华文楷体" w:eastAsia="华文楷体" w:cs="华文楷体"/>
      <w:color w:val="000000"/>
      <w:sz w:val="22"/>
      <w:szCs w:val="22"/>
      <w:u w:val="none"/>
    </w:rPr>
  </w:style>
  <w:style w:type="character" w:customStyle="1" w:styleId="36">
    <w:name w:val="font41"/>
    <w:basedOn w:val="15"/>
    <w:qFormat/>
    <w:uiPriority w:val="0"/>
    <w:rPr>
      <w:rFonts w:hint="eastAsia" w:ascii="华文楷体" w:hAnsi="华文楷体" w:eastAsia="华文楷体" w:cs="华文楷体"/>
      <w:color w:val="000000"/>
      <w:sz w:val="22"/>
      <w:szCs w:val="22"/>
      <w:u w:val="none"/>
      <w:vertAlign w:val="superscript"/>
    </w:rPr>
  </w:style>
  <w:style w:type="character" w:customStyle="1" w:styleId="37">
    <w:name w:val="font11"/>
    <w:basedOn w:val="15"/>
    <w:qFormat/>
    <w:uiPriority w:val="0"/>
    <w:rPr>
      <w:rFonts w:hint="eastAsia" w:ascii="华文楷体" w:hAnsi="华文楷体" w:eastAsia="华文楷体" w:cs="华文楷体"/>
      <w:color w:val="000000"/>
      <w:sz w:val="22"/>
      <w:szCs w:val="22"/>
      <w:u w:val="none"/>
    </w:rPr>
  </w:style>
  <w:style w:type="paragraph" w:customStyle="1" w:styleId="38">
    <w:name w:val="EndNote Bibliography"/>
    <w:basedOn w:val="1"/>
    <w:autoRedefine/>
    <w:qFormat/>
    <w:uiPriority w:val="0"/>
    <w:pPr>
      <w:ind w:firstLine="200" w:firstLineChars="200"/>
      <w:jc w:val="left"/>
    </w:pPr>
    <w:rPr>
      <w:sz w:val="20"/>
    </w:rPr>
  </w:style>
  <w:style w:type="paragraph" w:customStyle="1" w:styleId="39">
    <w:name w:val="列出段落1"/>
    <w:basedOn w:val="1"/>
    <w:qFormat/>
    <w:uiPriority w:val="34"/>
    <w:pPr>
      <w:ind w:firstLine="420" w:firstLineChars="200"/>
    </w:pPr>
  </w:style>
  <w:style w:type="paragraph" w:customStyle="1" w:styleId="40">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6379</Words>
  <Characters>6469</Characters>
  <Lines>35</Lines>
  <Paragraphs>9</Paragraphs>
  <TotalTime>1</TotalTime>
  <ScaleCrop>false</ScaleCrop>
  <LinksUpToDate>false</LinksUpToDate>
  <CharactersWithSpaces>6471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2026-03-19T06:41:05Z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