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harts/chart1.xml" ContentType="application/vnd.openxmlformats-officedocument.drawingml.chart+xml"/>
  <Override PartName="/word/charts/colors1.xml" ContentType="application/vnd.ms-office.chartcolorstyle+xml"/>
  <Override PartName="/word/charts/style1.xml" ContentType="application/vnd.ms-office.chartstyle+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737E9B0">
      <w:pPr>
        <w:pStyle w:val="2"/>
        <w:keepNext/>
        <w:keepLines/>
        <w:pageBreakBefore w:val="0"/>
        <w:widowControl w:val="0"/>
        <w:kinsoku/>
        <w:wordWrap/>
        <w:overflowPunct/>
        <w:topLinePunct w:val="0"/>
        <w:autoSpaceDE/>
        <w:autoSpaceDN/>
        <w:bidi w:val="0"/>
        <w:adjustRightInd/>
        <w:snapToGrid/>
        <w:spacing w:before="0" w:after="0" w:line="400" w:lineRule="exact"/>
        <w:jc w:val="center"/>
        <w:textAlignment w:val="auto"/>
        <w:rPr>
          <w:rFonts w:hint="eastAsia" w:ascii="隶书" w:hAnsi="隶书" w:eastAsia="隶书" w:cs="隶书"/>
          <w:lang w:val="en-US" w:eastAsia="zh-CN"/>
        </w:rPr>
      </w:pPr>
    </w:p>
    <w:p w14:paraId="5231C4C9">
      <w:pPr>
        <w:pStyle w:val="2"/>
        <w:keepNext/>
        <w:keepLines/>
        <w:pageBreakBefore w:val="0"/>
        <w:widowControl w:val="0"/>
        <w:kinsoku/>
        <w:wordWrap/>
        <w:overflowPunct/>
        <w:topLinePunct w:val="0"/>
        <w:autoSpaceDE/>
        <w:autoSpaceDN/>
        <w:bidi w:val="0"/>
        <w:adjustRightInd/>
        <w:snapToGrid/>
        <w:spacing w:before="0" w:after="0" w:line="400" w:lineRule="exact"/>
        <w:jc w:val="center"/>
        <w:textAlignment w:val="auto"/>
        <w:rPr>
          <w:rFonts w:hint="eastAsia" w:ascii="隶书" w:hAnsi="隶书" w:eastAsia="隶书" w:cs="隶书"/>
          <w:lang w:val="en-US" w:eastAsia="zh-CN"/>
        </w:rPr>
      </w:pPr>
      <w:bookmarkStart w:id="0" w:name="_GoBack"/>
      <w:bookmarkEnd w:id="0"/>
      <w:r>
        <w:rPr>
          <w:rFonts w:hint="eastAsia" w:ascii="隶书" w:hAnsi="隶书" w:eastAsia="隶书" w:cs="隶书"/>
          <w:lang w:val="en-US" w:eastAsia="zh-CN"/>
        </w:rPr>
        <w:t>中国磷化工产业发展回顾</w:t>
      </w:r>
    </w:p>
    <w:p w14:paraId="7F788D25">
      <w:pPr>
        <w:pStyle w:val="2"/>
        <w:keepNext/>
        <w:keepLines/>
        <w:pageBreakBefore w:val="0"/>
        <w:widowControl w:val="0"/>
        <w:kinsoku/>
        <w:wordWrap/>
        <w:overflowPunct/>
        <w:topLinePunct w:val="0"/>
        <w:autoSpaceDE/>
        <w:autoSpaceDN/>
        <w:bidi w:val="0"/>
        <w:adjustRightInd/>
        <w:snapToGrid/>
        <w:spacing w:before="0" w:after="0" w:line="400" w:lineRule="exact"/>
        <w:jc w:val="center"/>
        <w:textAlignment w:val="auto"/>
        <w:rPr>
          <w:rFonts w:hint="eastAsia" w:ascii="楷体" w:hAnsi="楷体" w:eastAsia="楷体" w:cs="楷体"/>
          <w:color w:val="auto"/>
          <w:sz w:val="21"/>
          <w:szCs w:val="21"/>
          <w:lang w:val="en-US" w:eastAsia="zh-CN"/>
        </w:rPr>
      </w:pPr>
      <w:r>
        <w:rPr>
          <w:rFonts w:hint="eastAsia" w:ascii="楷体" w:hAnsi="楷体" w:eastAsia="楷体" w:cs="楷体"/>
          <w:color w:val="auto"/>
          <w:sz w:val="21"/>
          <w:szCs w:val="21"/>
          <w:lang w:val="en-US" w:eastAsia="zh-CN"/>
        </w:rPr>
        <w:t>牛仁杰</w:t>
      </w:r>
    </w:p>
    <w:p w14:paraId="5A5723A4">
      <w:pPr>
        <w:pStyle w:val="2"/>
        <w:keepNext/>
        <w:keepLines/>
        <w:pageBreakBefore w:val="0"/>
        <w:widowControl w:val="0"/>
        <w:kinsoku/>
        <w:wordWrap/>
        <w:overflowPunct/>
        <w:topLinePunct w:val="0"/>
        <w:autoSpaceDE/>
        <w:autoSpaceDN/>
        <w:bidi w:val="0"/>
        <w:adjustRightInd/>
        <w:snapToGrid/>
        <w:spacing w:before="0" w:after="0" w:line="400" w:lineRule="exact"/>
        <w:jc w:val="center"/>
        <w:textAlignment w:val="auto"/>
        <w:rPr>
          <w:rFonts w:hint="eastAsia" w:ascii="楷体" w:hAnsi="楷体" w:eastAsia="楷体" w:cs="楷体"/>
          <w:color w:val="auto"/>
          <w:sz w:val="21"/>
          <w:szCs w:val="21"/>
          <w:lang w:val="en-US" w:eastAsia="zh-CN"/>
        </w:rPr>
      </w:pPr>
      <w:r>
        <w:rPr>
          <w:rFonts w:hint="eastAsia" w:ascii="楷体" w:hAnsi="楷体" w:eastAsia="楷体" w:cs="楷体"/>
          <w:color w:val="auto"/>
          <w:sz w:val="21"/>
          <w:szCs w:val="21"/>
          <w:lang w:val="en-US" w:eastAsia="zh-CN"/>
        </w:rPr>
        <w:t>中国无机盐工业协会</w:t>
      </w:r>
    </w:p>
    <w:p w14:paraId="5BFF3580"/>
    <w:p w14:paraId="68B4510E">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eastAsia" w:ascii="宋体" w:hAnsi="宋体" w:eastAsia="宋体" w:cs="宋体"/>
          <w:lang w:val="en-US" w:eastAsia="zh-CN"/>
        </w:rPr>
      </w:pPr>
      <w:r>
        <w:rPr>
          <w:rFonts w:hint="eastAsia" w:ascii="宋体" w:hAnsi="宋体" w:eastAsia="宋体" w:cs="宋体"/>
          <w:lang w:val="en-US" w:eastAsia="zh-CN"/>
        </w:rPr>
        <w:t>磷化工产业是国民经济不可或缺的基础原材料产业，产品广泛应用于农业、工业、医药、食品、新能源、电子信息及国防军工等领域，在国民经济体系中占据关键地位。它不仅为农业生产提供必需的磷肥，有力支撑国家粮食安全战略，也为众多化工产品提供基础原料。随着新能源、电子信息等新兴产业蓬勃发展，磷化工产品的应用范围持续扩大，市场需求稳步增长。</w:t>
      </w:r>
    </w:p>
    <w:p w14:paraId="689672F4">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eastAsia" w:ascii="宋体" w:hAnsi="宋体" w:eastAsia="宋体" w:cs="宋体"/>
          <w:lang w:val="en-US" w:eastAsia="zh-CN"/>
        </w:rPr>
      </w:pPr>
      <w:r>
        <w:rPr>
          <w:rFonts w:hint="eastAsia" w:ascii="宋体" w:hAnsi="宋体" w:eastAsia="宋体" w:cs="宋体"/>
          <w:lang w:val="en-US" w:eastAsia="zh-CN"/>
        </w:rPr>
        <w:t>历经数十年发展，我国已构建起以磷肥产业为基础、黄磷深加工和磷酸盐精细化为核心、无机磷化工与有机磷化工相互配套的现代化产业体系，成为全球最大的磷化工产品生产国、消费国和贸易国。在产业不断升级的背后，长期积累的深层次矛盾与结构性问题也日益凸显：产业布局不够合理，部分地区盲目扩张、重复建设严重，导致资源浪费和环境污染加剧；资源综合利用水平有待提升，磷矿伴生的氟、碘等有价元素回收利用率较低，部分伴生稀土资源尚未纳入回收体系；高端产品供给不足，部分关键磷化工产品仍依赖进口，难以满足国内新兴产业快速发展的需求。</w:t>
      </w:r>
    </w:p>
    <w:p w14:paraId="6EC4F7EB">
      <w:pPr>
        <w:keepNext w:val="0"/>
        <w:keepLines w:val="0"/>
        <w:pageBreakBefore w:val="0"/>
        <w:widowControl w:val="0"/>
        <w:kinsoku/>
        <w:wordWrap/>
        <w:overflowPunct/>
        <w:topLinePunct w:val="0"/>
        <w:autoSpaceDE/>
        <w:autoSpaceDN/>
        <w:bidi w:val="0"/>
        <w:adjustRightInd/>
        <w:snapToGrid/>
        <w:spacing w:line="400" w:lineRule="exact"/>
        <w:ind w:firstLine="422" w:firstLineChars="200"/>
        <w:textAlignment w:val="auto"/>
        <w:rPr>
          <w:rFonts w:hint="eastAsia" w:ascii="宋体" w:hAnsi="宋体" w:eastAsia="宋体" w:cs="宋体"/>
          <w:b/>
          <w:bCs/>
          <w:sz w:val="21"/>
          <w:szCs w:val="21"/>
          <w:lang w:val="en-US" w:eastAsia="zh-CN"/>
        </w:rPr>
      </w:pPr>
      <w:r>
        <w:rPr>
          <w:rFonts w:hint="eastAsia" w:ascii="宋体" w:hAnsi="宋体" w:eastAsia="宋体" w:cs="宋体"/>
          <w:b/>
          <w:bCs/>
          <w:sz w:val="21"/>
          <w:szCs w:val="21"/>
          <w:lang w:val="en-US" w:eastAsia="zh-CN"/>
        </w:rPr>
        <w:t xml:space="preserve"> 一、我国磷化工发展周期变化 </w:t>
      </w:r>
    </w:p>
    <w:p w14:paraId="1567E730">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eastAsia" w:ascii="宋体" w:hAnsi="宋体" w:eastAsia="宋体" w:cs="宋体"/>
          <w:lang w:val="en-US" w:eastAsia="zh-CN"/>
        </w:rPr>
      </w:pPr>
      <w:r>
        <w:rPr>
          <w:rFonts w:hint="eastAsia" w:ascii="宋体" w:hAnsi="宋体" w:eastAsia="宋体" w:cs="宋体"/>
          <w:lang w:val="en-US" w:eastAsia="zh-CN"/>
        </w:rPr>
        <w:t>过去七十余年，中国磷化工产业走出了一条从无到有、由弱到强的典型工业化发展道路，历程可概括为四个递进阶段：奠基起步（1950—1970年）、规模扩张（1980—2000年）、调整升级（2010年—2020年初）和转型发展（2020年至今）。</w:t>
      </w:r>
    </w:p>
    <w:p w14:paraId="4E1CD6CE">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eastAsia" w:ascii="宋体" w:hAnsi="宋体" w:eastAsia="宋体" w:cs="宋体"/>
          <w:lang w:val="en-US" w:eastAsia="zh-CN"/>
        </w:rPr>
      </w:pPr>
      <w:r>
        <w:rPr>
          <w:rFonts w:hint="eastAsia" w:ascii="宋体" w:hAnsi="宋体" w:eastAsia="宋体" w:cs="宋体"/>
          <w:lang w:val="en-US" w:eastAsia="zh-CN"/>
        </w:rPr>
        <w:t>行业最初为保障农业基本需求而建立，依托重点磷矿资源，以生产低浓度普钙为主，奠定了产业雏形。随着农业现代化进程加快，高浓度磷复肥需求激增，行业通过引进大型技术和设备实现产能快速扩张，逐步成为全球最大的磷肥生产与消费国。进入调整升级期后，面对前期扩张带来的产能过剩与环保压力，国家推动供给侧结构性改革，以"三磷"专项整治为抓手，强制淘汰落后产能，推动行业集中度提升，企业发展重心从规模扩张转向安全环保与技术升级。</w:t>
      </w:r>
    </w:p>
    <w:p w14:paraId="436989C8">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eastAsia" w:ascii="宋体" w:hAnsi="宋体" w:eastAsia="宋体" w:cs="宋体"/>
          <w:lang w:val="en-US" w:eastAsia="zh-CN"/>
        </w:rPr>
      </w:pPr>
      <w:r>
        <w:rPr>
          <w:rFonts w:hint="eastAsia" w:ascii="宋体" w:hAnsi="宋体" w:eastAsia="宋体" w:cs="宋体"/>
          <w:lang w:val="en-US" w:eastAsia="zh-CN"/>
        </w:rPr>
        <w:t>当前，行业正处于深刻的转型发展周期。在"双碳"战略目标与新能源产业爆发的双重驱动下，行业发展由农肥产业链发生了根本性转变。传统以化肥为主导的强周期属性正在弱化，头部企业凭借资源与技术积累，战略性地向磷酸铁锂、电子化学品等高增长、高附加值的新材料赛道延伸。这一转型的核心在于将磷资源与氟、锂等战略资源要素耦合，构建全新的产业链与价值链。行业发展属性正从单一的"传统化肥"产业，向兼具资源壁垒、技术壁垒与成长性的"新兴材料"产业华丽转身，开启了以"高效、高值、绿色"为核心的全新发展阶段。</w:t>
      </w:r>
    </w:p>
    <w:p w14:paraId="42D79B8B">
      <w:pPr>
        <w:keepNext w:val="0"/>
        <w:keepLines w:val="0"/>
        <w:pageBreakBefore w:val="0"/>
        <w:widowControl w:val="0"/>
        <w:kinsoku/>
        <w:wordWrap/>
        <w:overflowPunct/>
        <w:topLinePunct w:val="0"/>
        <w:autoSpaceDE/>
        <w:autoSpaceDN/>
        <w:bidi w:val="0"/>
        <w:adjustRightInd/>
        <w:snapToGrid/>
        <w:spacing w:line="400" w:lineRule="exact"/>
        <w:ind w:firstLine="422" w:firstLineChars="200"/>
        <w:textAlignment w:val="auto"/>
        <w:rPr>
          <w:rFonts w:hint="eastAsia" w:ascii="宋体" w:hAnsi="宋体" w:eastAsia="宋体" w:cs="宋体"/>
          <w:b/>
          <w:bCs/>
          <w:sz w:val="21"/>
          <w:szCs w:val="21"/>
          <w:lang w:val="en-US" w:eastAsia="zh-CN"/>
        </w:rPr>
      </w:pPr>
      <w:r>
        <w:rPr>
          <w:rFonts w:hint="eastAsia" w:ascii="宋体" w:hAnsi="宋体" w:eastAsia="宋体" w:cs="宋体"/>
          <w:b/>
          <w:bCs/>
          <w:sz w:val="21"/>
          <w:szCs w:val="21"/>
          <w:lang w:val="en-US" w:eastAsia="zh-CN"/>
        </w:rPr>
        <w:t xml:space="preserve"> 二、磷化工行业规模持续扩大，经济效益稳步提升 </w:t>
      </w:r>
    </w:p>
    <w:p w14:paraId="6476EDD3">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eastAsia" w:ascii="宋体" w:hAnsi="宋体" w:eastAsia="宋体" w:cs="宋体"/>
          <w:lang w:val="en-US" w:eastAsia="zh-CN"/>
        </w:rPr>
      </w:pPr>
      <w:r>
        <w:rPr>
          <w:rFonts w:hint="eastAsia" w:ascii="宋体" w:hAnsi="宋体" w:eastAsia="宋体" w:cs="宋体"/>
          <w:lang w:val="en-US" w:eastAsia="zh-CN"/>
        </w:rPr>
        <w:t>随着磷系新能源产业不断发展壮大，磷化工行业产值持续提升，由2020年的1950亿元增长至2025年的2650亿元。这主要得益于我国磷矿资源产量稳步增长（详见图1），以及下游产业结构持续优化，推动了产业需求扩张，行业加速向高附加值领域转型。</w:t>
      </w:r>
    </w:p>
    <w:p w14:paraId="418E98AF">
      <w:pPr>
        <w:spacing w:line="360" w:lineRule="auto"/>
        <w:ind w:firstLine="420" w:firstLineChars="200"/>
        <w:rPr>
          <w:rFonts w:ascii="仿宋_GB2312" w:eastAsia="仿宋_GB2312"/>
          <w:sz w:val="28"/>
          <w:szCs w:val="28"/>
          <w14:ligatures w14:val="standardContextual"/>
        </w:rPr>
      </w:pPr>
      <w:r>
        <w:drawing>
          <wp:inline distT="0" distB="0" distL="0" distR="0">
            <wp:extent cx="4572000" cy="2743200"/>
            <wp:effectExtent l="4445" t="4445" r="14605" b="14605"/>
            <wp:docPr id="447472050" name="图表 1"/>
            <wp:cNvGraphicFramePr/>
            <a:graphic xmlns:a="http://schemas.openxmlformats.org/drawingml/2006/main">
              <a:graphicData uri="http://schemas.openxmlformats.org/drawingml/2006/chart">
                <c:chart xmlns:c="http://schemas.openxmlformats.org/drawingml/2006/chart" xmlns:r="http://schemas.openxmlformats.org/officeDocument/2006/relationships" r:id="rId4"/>
              </a:graphicData>
            </a:graphic>
          </wp:inline>
        </w:drawing>
      </w:r>
    </w:p>
    <w:p w14:paraId="16845408">
      <w:pPr>
        <w:keepNext w:val="0"/>
        <w:keepLines w:val="0"/>
        <w:pageBreakBefore w:val="0"/>
        <w:widowControl w:val="0"/>
        <w:kinsoku/>
        <w:wordWrap/>
        <w:overflowPunct/>
        <w:topLinePunct w:val="0"/>
        <w:autoSpaceDE/>
        <w:autoSpaceDN/>
        <w:bidi w:val="0"/>
        <w:adjustRightInd/>
        <w:snapToGrid/>
        <w:spacing w:line="400" w:lineRule="exact"/>
        <w:ind w:firstLine="422" w:firstLineChars="200"/>
        <w:jc w:val="center"/>
        <w:textAlignment w:val="auto"/>
        <w:rPr>
          <w:rFonts w:hint="eastAsia" w:ascii="宋体" w:hAnsi="宋体" w:eastAsia="宋体" w:cs="宋体"/>
          <w:b/>
          <w:bCs/>
          <w:sz w:val="21"/>
          <w:szCs w:val="21"/>
          <w:lang w:val="en-US" w:eastAsia="zh-CN"/>
        </w:rPr>
      </w:pPr>
      <w:r>
        <w:rPr>
          <w:rFonts w:hint="eastAsia" w:ascii="宋体" w:hAnsi="宋体" w:eastAsia="宋体" w:cs="宋体"/>
          <w:b/>
          <w:bCs/>
          <w:sz w:val="21"/>
          <w:szCs w:val="21"/>
          <w:lang w:val="en-US" w:eastAsia="zh-CN"/>
        </w:rPr>
        <w:t>图1 2020—2025年磷化工产值与磷矿石产量</w:t>
      </w:r>
    </w:p>
    <w:p w14:paraId="6D98844E">
      <w:pPr>
        <w:keepNext w:val="0"/>
        <w:keepLines w:val="0"/>
        <w:pageBreakBefore w:val="0"/>
        <w:widowControl w:val="0"/>
        <w:kinsoku/>
        <w:wordWrap/>
        <w:overflowPunct/>
        <w:topLinePunct w:val="0"/>
        <w:autoSpaceDE/>
        <w:autoSpaceDN/>
        <w:bidi w:val="0"/>
        <w:adjustRightInd/>
        <w:snapToGrid/>
        <w:spacing w:line="400" w:lineRule="exact"/>
        <w:ind w:firstLine="422" w:firstLineChars="200"/>
        <w:textAlignment w:val="auto"/>
        <w:rPr>
          <w:rFonts w:hint="eastAsia" w:ascii="宋体" w:hAnsi="宋体" w:eastAsia="宋体" w:cs="宋体"/>
          <w:b/>
          <w:bCs/>
          <w:sz w:val="21"/>
          <w:szCs w:val="21"/>
          <w:lang w:val="en-US" w:eastAsia="zh-CN"/>
        </w:rPr>
      </w:pPr>
      <w:r>
        <w:rPr>
          <w:rFonts w:hint="eastAsia" w:ascii="宋体" w:hAnsi="宋体" w:eastAsia="宋体" w:cs="宋体"/>
          <w:b/>
          <w:bCs/>
          <w:sz w:val="21"/>
          <w:szCs w:val="21"/>
          <w:lang w:val="en-US" w:eastAsia="zh-CN"/>
        </w:rPr>
        <w:t xml:space="preserve"> 三、传统磷化工与新能源产业协同发展 </w:t>
      </w:r>
    </w:p>
    <w:p w14:paraId="0F189688">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eastAsia" w:ascii="宋体" w:hAnsi="宋体" w:eastAsia="宋体" w:cs="宋体"/>
          <w:lang w:val="en-US" w:eastAsia="zh-CN"/>
        </w:rPr>
      </w:pPr>
      <w:r>
        <w:rPr>
          <w:rFonts w:hint="eastAsia" w:ascii="宋体" w:hAnsi="宋体" w:eastAsia="宋体" w:cs="宋体"/>
          <w:lang w:val="en-US" w:eastAsia="zh-CN"/>
        </w:rPr>
        <w:t>传统大宗产品领域基本稳定。磷肥市场已高度成熟，需求增长趋于平稳，甚至在国家化肥减量等产业政策引导下，未来将以"减量增效"方式导致磷肥用量适度下降。该领域的发展重心已从产能扩张转向成本控制、产品结构优化（如水溶肥、缓控释肥）和产业链一体化（"矿化一体"）。相关政策主要以供给侧结构性改革（环保、能耗约束）推动产能产量优化调整，行业集中度持续提升（磷肥行业CR5已超42%），头部企业地位更加稳固。</w:t>
      </w:r>
    </w:p>
    <w:p w14:paraId="3D538BFD">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eastAsia" w:ascii="宋体" w:hAnsi="宋体" w:eastAsia="宋体" w:cs="宋体"/>
          <w:lang w:val="en-US" w:eastAsia="zh-CN"/>
        </w:rPr>
      </w:pPr>
      <w:r>
        <w:rPr>
          <w:rFonts w:hint="eastAsia" w:ascii="宋体" w:hAnsi="宋体" w:eastAsia="宋体" w:cs="宋体"/>
          <w:lang w:val="en-US" w:eastAsia="zh-CN"/>
        </w:rPr>
        <w:t>磷系新能源产业则处于快速发展期。以磷酸铁锂为代表的磷系新能源材料需求呈爆发式增长，成为拉动行业增长的最强引擎。以电子级磷酸为代表的高端精细磷化学品，受益于半导体材料国产化替代机遇，正处于技术突破与市场导入的关键期。这些领域为整个产业注入了新的成长动力，驱动产业价值链从传统农化向现代新材料跃迁。</w:t>
      </w:r>
    </w:p>
    <w:p w14:paraId="492E45AC">
      <w:pPr>
        <w:keepNext w:val="0"/>
        <w:keepLines w:val="0"/>
        <w:pageBreakBefore w:val="0"/>
        <w:widowControl w:val="0"/>
        <w:kinsoku/>
        <w:wordWrap/>
        <w:overflowPunct/>
        <w:topLinePunct w:val="0"/>
        <w:autoSpaceDE/>
        <w:autoSpaceDN/>
        <w:bidi w:val="0"/>
        <w:adjustRightInd/>
        <w:snapToGrid/>
        <w:spacing w:line="400" w:lineRule="exact"/>
        <w:ind w:firstLine="422" w:firstLineChars="200"/>
        <w:textAlignment w:val="auto"/>
        <w:rPr>
          <w:rFonts w:hint="eastAsia" w:ascii="宋体" w:hAnsi="宋体" w:eastAsia="宋体" w:cs="宋体"/>
          <w:b/>
          <w:bCs/>
          <w:sz w:val="21"/>
          <w:szCs w:val="21"/>
          <w:lang w:val="en-US" w:eastAsia="zh-CN"/>
        </w:rPr>
      </w:pPr>
      <w:r>
        <w:rPr>
          <w:rFonts w:hint="eastAsia" w:ascii="宋体" w:hAnsi="宋体" w:eastAsia="宋体" w:cs="宋体"/>
          <w:b/>
          <w:bCs/>
          <w:sz w:val="21"/>
          <w:szCs w:val="21"/>
          <w:lang w:val="en-US" w:eastAsia="zh-CN"/>
        </w:rPr>
        <w:t xml:space="preserve"> 四、中国磷化工产业发展地位 </w:t>
      </w:r>
    </w:p>
    <w:p w14:paraId="0F33AC62">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eastAsia" w:ascii="宋体" w:hAnsi="宋体" w:eastAsia="宋体" w:cs="宋体"/>
          <w:lang w:val="en-US" w:eastAsia="zh-CN"/>
        </w:rPr>
      </w:pPr>
      <w:r>
        <w:rPr>
          <w:rFonts w:hint="eastAsia" w:ascii="宋体" w:hAnsi="宋体" w:eastAsia="宋体" w:cs="宋体"/>
          <w:lang w:val="en-US" w:eastAsia="zh-CN"/>
        </w:rPr>
        <w:t>中国在全球磷化工产业中扮演着"最大生产国、主要消费国与核心变革者"三位一体的关键角色，其产业规模、转型路径与市场需求正深刻重塑全球行业格局。</w:t>
      </w:r>
    </w:p>
    <w:p w14:paraId="4C68D75C">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eastAsia" w:ascii="宋体" w:hAnsi="宋体" w:eastAsia="宋体" w:cs="宋体"/>
          <w:lang w:val="en-US" w:eastAsia="zh-CN"/>
        </w:rPr>
      </w:pPr>
      <w:r>
        <w:rPr>
          <w:rFonts w:hint="eastAsia" w:ascii="宋体" w:hAnsi="宋体" w:eastAsia="宋体" w:cs="宋体"/>
          <w:lang w:val="en-US" w:eastAsia="zh-CN"/>
        </w:rPr>
        <w:t xml:space="preserve"> 1. 规模与体系的全球主导者 </w:t>
      </w:r>
    </w:p>
    <w:p w14:paraId="6D1AC141">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eastAsia" w:ascii="宋体" w:hAnsi="宋体" w:eastAsia="宋体" w:cs="宋体"/>
          <w:lang w:val="en-US" w:eastAsia="zh-CN"/>
        </w:rPr>
      </w:pPr>
      <w:r>
        <w:rPr>
          <w:rFonts w:hint="eastAsia" w:ascii="宋体" w:hAnsi="宋体" w:eastAsia="宋体" w:cs="宋体"/>
          <w:lang w:val="en-US" w:eastAsia="zh-CN"/>
        </w:rPr>
        <w:t>中国是全球磷化工产业的基石。尽管已探明磷矿储量仅占全球约4.7%，却贡献了全球近一半的矿石年开采量。依托全球最完整的产业链体系——从磷矿采选、基础磷酸制造到磷肥及各类磷酸盐生产，中国磷肥自给率长期超过100%，保障了全球粮食安全的基础供给。2024年，中国磷化工市场规模已占全球总量的约40-50%，规模优势奠定了其不可动摇的产业地位。</w:t>
      </w:r>
    </w:p>
    <w:p w14:paraId="3674DCD7">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eastAsia" w:ascii="宋体" w:hAnsi="宋体" w:eastAsia="宋体" w:cs="宋体"/>
          <w:lang w:val="en-US" w:eastAsia="zh-CN"/>
        </w:rPr>
      </w:pPr>
      <w:r>
        <w:rPr>
          <w:rFonts w:hint="eastAsia" w:ascii="宋体" w:hAnsi="宋体" w:eastAsia="宋体" w:cs="宋体"/>
          <w:lang w:val="en-US" w:eastAsia="zh-CN"/>
        </w:rPr>
        <w:t xml:space="preserve"> 2. 资源约束下的创新转型典范 </w:t>
      </w:r>
    </w:p>
    <w:p w14:paraId="3C48F242">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eastAsia" w:ascii="宋体" w:hAnsi="宋体" w:eastAsia="宋体" w:cs="宋体"/>
          <w:lang w:val="en-US" w:eastAsia="zh-CN"/>
        </w:rPr>
      </w:pPr>
      <w:r>
        <w:rPr>
          <w:rFonts w:hint="eastAsia" w:ascii="宋体" w:hAnsi="宋体" w:eastAsia="宋体" w:cs="宋体"/>
          <w:lang w:val="en-US" w:eastAsia="zh-CN"/>
        </w:rPr>
        <w:t>与摩洛哥等资源富集国不同，中国面临"资源相对贫乏却需支撑全球最大产业"的独特挑战。国内磷矿储采比仅约34年，远低于全球308年的平均水平，且矿石平均品位偏低。这一严峻现实倒逼中国产业界持续攻坚，在中低品位矿高效利用、湿法磷酸深度净化、磷石膏规模化资源化处理等资源增效与循环技术领域取得全球瞩目的突破，形成了独具特色的绿色发展路径，为全球资源型产业的可持续转型提供了实践范本。</w:t>
      </w:r>
    </w:p>
    <w:p w14:paraId="558292C2">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eastAsia" w:ascii="宋体" w:hAnsi="宋体" w:eastAsia="宋体" w:cs="宋体"/>
          <w:lang w:val="en-US" w:eastAsia="zh-CN"/>
        </w:rPr>
      </w:pPr>
      <w:r>
        <w:rPr>
          <w:rFonts w:hint="eastAsia" w:ascii="宋体" w:hAnsi="宋体" w:eastAsia="宋体" w:cs="宋体"/>
          <w:lang w:val="en-US" w:eastAsia="zh-CN"/>
        </w:rPr>
        <w:t xml:space="preserve"> 3. 需求变革的全球策源地与驱动者 </w:t>
      </w:r>
    </w:p>
    <w:p w14:paraId="0D4512F1">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eastAsia" w:ascii="宋体" w:hAnsi="宋体" w:eastAsia="宋体" w:cs="宋体"/>
          <w:lang w:val="en-US" w:eastAsia="zh-CN"/>
        </w:rPr>
      </w:pPr>
      <w:r>
        <w:rPr>
          <w:rFonts w:hint="eastAsia" w:ascii="宋体" w:hAnsi="宋体" w:eastAsia="宋体" w:cs="宋体"/>
          <w:lang w:val="en-US" w:eastAsia="zh-CN"/>
        </w:rPr>
        <w:t>作为全球最大的新能源汽车与动力电池市场，中国引领的磷酸铁锂（LFP）电池技术路线已成为产业核心变革力量。该路线的规模化爆发，不仅驱动中国本土磷化工产业链价值重塑（目前新能源领域已消耗约35%的工业级磷酸一铵产能），更在根本性改变全球磷资源的战略流向与企业投资重心。全球磷化工新增资本正加速向新能源材料领域集聚，中国已成为定义未来需求方向的策源地。</w:t>
      </w:r>
    </w:p>
    <w:p w14:paraId="2DF461B2">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eastAsia" w:ascii="宋体" w:hAnsi="宋体" w:eastAsia="宋体" w:cs="宋体"/>
          <w:lang w:val="en-US" w:eastAsia="zh-CN"/>
        </w:rPr>
      </w:pPr>
      <w:r>
        <w:rPr>
          <w:rFonts w:hint="eastAsia" w:ascii="宋体" w:hAnsi="宋体" w:eastAsia="宋体" w:cs="宋体"/>
          <w:lang w:val="en-US" w:eastAsia="zh-CN"/>
        </w:rPr>
        <w:t xml:space="preserve"> 4. 高端价值链的关键追赶与突破者 </w:t>
      </w:r>
    </w:p>
    <w:p w14:paraId="7F908A2D">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eastAsia" w:ascii="宋体" w:hAnsi="宋体" w:eastAsia="宋体" w:cs="宋体"/>
          <w:lang w:val="en-US" w:eastAsia="zh-CN"/>
        </w:rPr>
      </w:pPr>
      <w:r>
        <w:rPr>
          <w:rFonts w:hint="eastAsia" w:ascii="宋体" w:hAnsi="宋体" w:eastAsia="宋体" w:cs="宋体"/>
          <w:lang w:val="en-US" w:eastAsia="zh-CN"/>
        </w:rPr>
        <w:t>在规模领先的同时，中国在部分超高附加值领域（如半导体级电子化学品、特种高端磷化物）仍处于追赶阶段。当前，在强化产业链供应链安全的国家战略指引下，国内领先企业正加速向这些"卡脖子"环节攻坚。随着国产化替代进程持续推进，中国不仅将改变全球高端磷化工产品的竞争格局，更将逐步完成从基础大宗品供应者向全价值链主导者的角色跃升。</w:t>
      </w:r>
    </w:p>
    <w:sectPr>
      <w:pgSz w:w="11906" w:h="16838"/>
      <w:pgMar w:top="1814" w:right="1587" w:bottom="1701" w:left="1587"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font>
  <w:font w:name="等线 Light">
    <w:panose1 w:val="02010600030101010101"/>
    <w:charset w:val="86"/>
    <w:family w:val="auto"/>
    <w:pitch w:val="default"/>
    <w:sig w:usb0="A00002BF" w:usb1="38CF7CFA" w:usb2="00000016" w:usb3="00000000" w:csb0="0004000F" w:csb1="00000000"/>
  </w:font>
  <w:font w:name="楷体">
    <w:panose1 w:val="02010609060101010101"/>
    <w:charset w:val="86"/>
    <w:family w:val="modern"/>
    <w:pitch w:val="default"/>
    <w:sig w:usb0="800002BF" w:usb1="38CF7CFA" w:usb2="00000016" w:usb3="00000000" w:csb0="00040001" w:csb1="00000000"/>
  </w:font>
  <w:font w:name="微软雅黑">
    <w:panose1 w:val="020B0503020204020204"/>
    <w:charset w:val="86"/>
    <w:family w:val="swiss"/>
    <w:pitch w:val="default"/>
    <w:sig w:usb0="80000287" w:usb1="2ACF3C50" w:usb2="00000016" w:usb3="00000000" w:csb0="0004001F" w:csb1="00000000"/>
  </w:font>
  <w:font w:name="华文楷体">
    <w:panose1 w:val="02010600040101010101"/>
    <w:charset w:val="86"/>
    <w:family w:val="auto"/>
    <w:pitch w:val="default"/>
    <w:sig w:usb0="00000287" w:usb1="080F0000" w:usb2="00000000" w:usb3="00000000" w:csb0="0004009F" w:csb1="DFD70000"/>
  </w:font>
  <w:font w:name="隶书">
    <w:panose1 w:val="02010509060101010101"/>
    <w:charset w:val="86"/>
    <w:family w:val="modern"/>
    <w:pitch w:val="default"/>
    <w:sig w:usb0="00000001" w:usb1="080E0000" w:usb2="00000000" w:usb3="00000000" w:csb0="00040000" w:csb1="00000000"/>
  </w:font>
  <w:font w:name="仿宋_GB2312">
    <w:altName w:val="仿宋"/>
    <w:panose1 w:val="02010609030101010101"/>
    <w:charset w:val="86"/>
    <w:family w:val="modern"/>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 w:name="KSOFE44F9426">
    <w:panose1 w:val="02010609060101010101"/>
    <w:charset w:val="86"/>
    <w:family w:val="auto"/>
    <w:pitch w:val="default"/>
    <w:sig w:usb0="00000001" w:usb1="00000000" w:usb2="00000000"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Dc5ZmMwZTNkY2FjMjU1Y2Y4ZTlkNzhjNmI4MDEyNjcifQ=="/>
  </w:docVars>
  <w:rsids>
    <w:rsidRoot w:val="00DD4CC1"/>
    <w:rsid w:val="00036B5E"/>
    <w:rsid w:val="00047FC0"/>
    <w:rsid w:val="00060599"/>
    <w:rsid w:val="0008730F"/>
    <w:rsid w:val="000A4D30"/>
    <w:rsid w:val="001570A5"/>
    <w:rsid w:val="001653DA"/>
    <w:rsid w:val="00170655"/>
    <w:rsid w:val="001F16B8"/>
    <w:rsid w:val="001F268C"/>
    <w:rsid w:val="00205F95"/>
    <w:rsid w:val="00223CAE"/>
    <w:rsid w:val="00252BF1"/>
    <w:rsid w:val="00264F57"/>
    <w:rsid w:val="002A2FE8"/>
    <w:rsid w:val="002A6E7F"/>
    <w:rsid w:val="002D3AD9"/>
    <w:rsid w:val="0032324D"/>
    <w:rsid w:val="00326DED"/>
    <w:rsid w:val="00452666"/>
    <w:rsid w:val="0046021A"/>
    <w:rsid w:val="00472F07"/>
    <w:rsid w:val="00495E28"/>
    <w:rsid w:val="004A7308"/>
    <w:rsid w:val="004B658B"/>
    <w:rsid w:val="004E5974"/>
    <w:rsid w:val="004E639D"/>
    <w:rsid w:val="0052555F"/>
    <w:rsid w:val="00550EFD"/>
    <w:rsid w:val="005A641B"/>
    <w:rsid w:val="005B2031"/>
    <w:rsid w:val="006054C1"/>
    <w:rsid w:val="006278D9"/>
    <w:rsid w:val="006525A5"/>
    <w:rsid w:val="006B4EF3"/>
    <w:rsid w:val="006B523C"/>
    <w:rsid w:val="006C7D50"/>
    <w:rsid w:val="00704818"/>
    <w:rsid w:val="00735E72"/>
    <w:rsid w:val="00756BF6"/>
    <w:rsid w:val="007958E0"/>
    <w:rsid w:val="007A04D9"/>
    <w:rsid w:val="007C2153"/>
    <w:rsid w:val="007D0764"/>
    <w:rsid w:val="007F00BC"/>
    <w:rsid w:val="00844F2C"/>
    <w:rsid w:val="00852987"/>
    <w:rsid w:val="0087425D"/>
    <w:rsid w:val="00874940"/>
    <w:rsid w:val="009168ED"/>
    <w:rsid w:val="0093495B"/>
    <w:rsid w:val="0094356F"/>
    <w:rsid w:val="009819FE"/>
    <w:rsid w:val="00987F1F"/>
    <w:rsid w:val="00A0752B"/>
    <w:rsid w:val="00A1502F"/>
    <w:rsid w:val="00A3470B"/>
    <w:rsid w:val="00A633AE"/>
    <w:rsid w:val="00A81B9E"/>
    <w:rsid w:val="00AA011A"/>
    <w:rsid w:val="00AD6D59"/>
    <w:rsid w:val="00B05911"/>
    <w:rsid w:val="00B226D2"/>
    <w:rsid w:val="00B86F3C"/>
    <w:rsid w:val="00BD25C3"/>
    <w:rsid w:val="00BF5402"/>
    <w:rsid w:val="00C31229"/>
    <w:rsid w:val="00C76433"/>
    <w:rsid w:val="00CF58F8"/>
    <w:rsid w:val="00D203A8"/>
    <w:rsid w:val="00D36A6E"/>
    <w:rsid w:val="00D829F0"/>
    <w:rsid w:val="00DD4CC1"/>
    <w:rsid w:val="00DE0390"/>
    <w:rsid w:val="00DF0139"/>
    <w:rsid w:val="00E52C97"/>
    <w:rsid w:val="00E67BF2"/>
    <w:rsid w:val="00EC1DD6"/>
    <w:rsid w:val="00ED67A0"/>
    <w:rsid w:val="00F153FF"/>
    <w:rsid w:val="00F22786"/>
    <w:rsid w:val="00F834FB"/>
    <w:rsid w:val="00F9257D"/>
    <w:rsid w:val="00FB3EEC"/>
    <w:rsid w:val="00FD2258"/>
    <w:rsid w:val="01520363"/>
    <w:rsid w:val="01C963F3"/>
    <w:rsid w:val="01DE1C5C"/>
    <w:rsid w:val="02203B3A"/>
    <w:rsid w:val="02B86B51"/>
    <w:rsid w:val="03304250"/>
    <w:rsid w:val="0374238F"/>
    <w:rsid w:val="03A5079A"/>
    <w:rsid w:val="03C50E3C"/>
    <w:rsid w:val="03C527A5"/>
    <w:rsid w:val="048748A1"/>
    <w:rsid w:val="04CC1D57"/>
    <w:rsid w:val="04DC643E"/>
    <w:rsid w:val="056106F1"/>
    <w:rsid w:val="05AE130F"/>
    <w:rsid w:val="05FB3670"/>
    <w:rsid w:val="06112117"/>
    <w:rsid w:val="062077BC"/>
    <w:rsid w:val="065F10D4"/>
    <w:rsid w:val="0730481F"/>
    <w:rsid w:val="076E5F7E"/>
    <w:rsid w:val="07B471FE"/>
    <w:rsid w:val="07C05BA3"/>
    <w:rsid w:val="07E3246F"/>
    <w:rsid w:val="07F7358F"/>
    <w:rsid w:val="08564759"/>
    <w:rsid w:val="08BA0844"/>
    <w:rsid w:val="091A7E4E"/>
    <w:rsid w:val="09931095"/>
    <w:rsid w:val="09F00295"/>
    <w:rsid w:val="0A4B20AA"/>
    <w:rsid w:val="0AEE6ECB"/>
    <w:rsid w:val="0AFF2E86"/>
    <w:rsid w:val="0B664CB3"/>
    <w:rsid w:val="0C0E77A3"/>
    <w:rsid w:val="0C2B45A8"/>
    <w:rsid w:val="0C580AA0"/>
    <w:rsid w:val="0C8E44C1"/>
    <w:rsid w:val="0CDE6ACB"/>
    <w:rsid w:val="0CE82491"/>
    <w:rsid w:val="0CF56428"/>
    <w:rsid w:val="0D525F6F"/>
    <w:rsid w:val="0D731909"/>
    <w:rsid w:val="0DA11FD2"/>
    <w:rsid w:val="0E470192"/>
    <w:rsid w:val="0E5352AC"/>
    <w:rsid w:val="0E792F4F"/>
    <w:rsid w:val="0EC8358F"/>
    <w:rsid w:val="0F543075"/>
    <w:rsid w:val="0FEE51C5"/>
    <w:rsid w:val="0FEF171B"/>
    <w:rsid w:val="0FF00FEF"/>
    <w:rsid w:val="0FF705D0"/>
    <w:rsid w:val="102313C5"/>
    <w:rsid w:val="103C5A23"/>
    <w:rsid w:val="10523A58"/>
    <w:rsid w:val="10667503"/>
    <w:rsid w:val="108035FE"/>
    <w:rsid w:val="108F6A5A"/>
    <w:rsid w:val="10B85FB1"/>
    <w:rsid w:val="10BB15FD"/>
    <w:rsid w:val="10D34B99"/>
    <w:rsid w:val="10F62635"/>
    <w:rsid w:val="111156C1"/>
    <w:rsid w:val="111B6540"/>
    <w:rsid w:val="11407D54"/>
    <w:rsid w:val="123F1DBA"/>
    <w:rsid w:val="12CF1390"/>
    <w:rsid w:val="12DB7D35"/>
    <w:rsid w:val="12E60488"/>
    <w:rsid w:val="13001868"/>
    <w:rsid w:val="132A2A6A"/>
    <w:rsid w:val="13CB5FFB"/>
    <w:rsid w:val="145D3907"/>
    <w:rsid w:val="148A7C64"/>
    <w:rsid w:val="14B4083D"/>
    <w:rsid w:val="156C2EC6"/>
    <w:rsid w:val="15C56B00"/>
    <w:rsid w:val="16132CB9"/>
    <w:rsid w:val="16B20DAC"/>
    <w:rsid w:val="16B25250"/>
    <w:rsid w:val="16B8213B"/>
    <w:rsid w:val="16D2144F"/>
    <w:rsid w:val="17836BED"/>
    <w:rsid w:val="178C5AA1"/>
    <w:rsid w:val="17AD77C6"/>
    <w:rsid w:val="180933FC"/>
    <w:rsid w:val="185C6006"/>
    <w:rsid w:val="18616F2E"/>
    <w:rsid w:val="191221DB"/>
    <w:rsid w:val="19235F91"/>
    <w:rsid w:val="19800B64"/>
    <w:rsid w:val="19836A30"/>
    <w:rsid w:val="199944A6"/>
    <w:rsid w:val="19FD4A34"/>
    <w:rsid w:val="1A533F79"/>
    <w:rsid w:val="1A5A1E87"/>
    <w:rsid w:val="1B2F179A"/>
    <w:rsid w:val="1B6F3710"/>
    <w:rsid w:val="1C250273"/>
    <w:rsid w:val="1D01483C"/>
    <w:rsid w:val="1D5D57EA"/>
    <w:rsid w:val="1E171E3D"/>
    <w:rsid w:val="1EBA2EF4"/>
    <w:rsid w:val="1EC41FC5"/>
    <w:rsid w:val="1EFE3E02"/>
    <w:rsid w:val="1F78690B"/>
    <w:rsid w:val="1FA40E26"/>
    <w:rsid w:val="20181E55"/>
    <w:rsid w:val="20200F8C"/>
    <w:rsid w:val="204B20BB"/>
    <w:rsid w:val="204F1D62"/>
    <w:rsid w:val="205C7FDB"/>
    <w:rsid w:val="20CA763A"/>
    <w:rsid w:val="21294361"/>
    <w:rsid w:val="21661758"/>
    <w:rsid w:val="227635D6"/>
    <w:rsid w:val="22BA5BB9"/>
    <w:rsid w:val="230D784D"/>
    <w:rsid w:val="23B95F13"/>
    <w:rsid w:val="24174945"/>
    <w:rsid w:val="24212C83"/>
    <w:rsid w:val="244020ED"/>
    <w:rsid w:val="248B32E5"/>
    <w:rsid w:val="24B17D3C"/>
    <w:rsid w:val="24EE1B49"/>
    <w:rsid w:val="25867FD4"/>
    <w:rsid w:val="259C77F7"/>
    <w:rsid w:val="262A3A04"/>
    <w:rsid w:val="269C7383"/>
    <w:rsid w:val="26B66697"/>
    <w:rsid w:val="273D46C2"/>
    <w:rsid w:val="27435A51"/>
    <w:rsid w:val="27466F3A"/>
    <w:rsid w:val="276F4A98"/>
    <w:rsid w:val="27A97FAA"/>
    <w:rsid w:val="283B6E9A"/>
    <w:rsid w:val="28414686"/>
    <w:rsid w:val="287C746C"/>
    <w:rsid w:val="288D3427"/>
    <w:rsid w:val="28C3509B"/>
    <w:rsid w:val="28D44D60"/>
    <w:rsid w:val="29F55569"/>
    <w:rsid w:val="2A6D1762"/>
    <w:rsid w:val="2A9C2048"/>
    <w:rsid w:val="2AF37C49"/>
    <w:rsid w:val="2C1A3224"/>
    <w:rsid w:val="2C5F332D"/>
    <w:rsid w:val="2CDC497D"/>
    <w:rsid w:val="2DA03BFD"/>
    <w:rsid w:val="2DA336ED"/>
    <w:rsid w:val="2DD45655"/>
    <w:rsid w:val="2E7221A8"/>
    <w:rsid w:val="2EC67693"/>
    <w:rsid w:val="2EE30245"/>
    <w:rsid w:val="2F087CAC"/>
    <w:rsid w:val="2F0E4B96"/>
    <w:rsid w:val="2F1A353B"/>
    <w:rsid w:val="2F1F6DA3"/>
    <w:rsid w:val="2F397E65"/>
    <w:rsid w:val="2F620882"/>
    <w:rsid w:val="2F633134"/>
    <w:rsid w:val="2F882B9B"/>
    <w:rsid w:val="2FA86D99"/>
    <w:rsid w:val="312F3756"/>
    <w:rsid w:val="31496359"/>
    <w:rsid w:val="315E0057"/>
    <w:rsid w:val="318D4498"/>
    <w:rsid w:val="3199108F"/>
    <w:rsid w:val="319F16AA"/>
    <w:rsid w:val="31CC4FC0"/>
    <w:rsid w:val="31F167D5"/>
    <w:rsid w:val="3216448E"/>
    <w:rsid w:val="321D581C"/>
    <w:rsid w:val="323963CE"/>
    <w:rsid w:val="3273368E"/>
    <w:rsid w:val="32963820"/>
    <w:rsid w:val="32E20814"/>
    <w:rsid w:val="337771AE"/>
    <w:rsid w:val="33F94067"/>
    <w:rsid w:val="34480B4A"/>
    <w:rsid w:val="34821AD6"/>
    <w:rsid w:val="35A52FD0"/>
    <w:rsid w:val="35D501BC"/>
    <w:rsid w:val="36407D2B"/>
    <w:rsid w:val="36B256C4"/>
    <w:rsid w:val="36BE3BE8"/>
    <w:rsid w:val="36DA26A7"/>
    <w:rsid w:val="36DB5CA6"/>
    <w:rsid w:val="37227431"/>
    <w:rsid w:val="3756532C"/>
    <w:rsid w:val="37B01725"/>
    <w:rsid w:val="38061044"/>
    <w:rsid w:val="381C3783"/>
    <w:rsid w:val="38635F53"/>
    <w:rsid w:val="389E342F"/>
    <w:rsid w:val="38C5276A"/>
    <w:rsid w:val="39783C80"/>
    <w:rsid w:val="399551B1"/>
    <w:rsid w:val="39D619B3"/>
    <w:rsid w:val="3A445910"/>
    <w:rsid w:val="3A557B1D"/>
    <w:rsid w:val="3A726921"/>
    <w:rsid w:val="3A765FE2"/>
    <w:rsid w:val="3B653D90"/>
    <w:rsid w:val="3B7D732B"/>
    <w:rsid w:val="3BAE3989"/>
    <w:rsid w:val="3BCC3E0F"/>
    <w:rsid w:val="3BD66A3C"/>
    <w:rsid w:val="3C424796"/>
    <w:rsid w:val="3CC044ED"/>
    <w:rsid w:val="3CC25530"/>
    <w:rsid w:val="3CC52D38"/>
    <w:rsid w:val="3CD13DD3"/>
    <w:rsid w:val="3D0715A3"/>
    <w:rsid w:val="3DA212CB"/>
    <w:rsid w:val="3DBB238D"/>
    <w:rsid w:val="3DBD6105"/>
    <w:rsid w:val="3E4405D4"/>
    <w:rsid w:val="3E8962AC"/>
    <w:rsid w:val="3E9C5D1B"/>
    <w:rsid w:val="3F375A43"/>
    <w:rsid w:val="3FA4757D"/>
    <w:rsid w:val="3FB6105E"/>
    <w:rsid w:val="3FE444E6"/>
    <w:rsid w:val="40583EC3"/>
    <w:rsid w:val="40642868"/>
    <w:rsid w:val="407A652F"/>
    <w:rsid w:val="40923879"/>
    <w:rsid w:val="409F7D44"/>
    <w:rsid w:val="410F592B"/>
    <w:rsid w:val="411424E0"/>
    <w:rsid w:val="41641264"/>
    <w:rsid w:val="41700BEB"/>
    <w:rsid w:val="426C3C56"/>
    <w:rsid w:val="42786A9F"/>
    <w:rsid w:val="42BC1743"/>
    <w:rsid w:val="42EE53FF"/>
    <w:rsid w:val="43E4263E"/>
    <w:rsid w:val="45554E75"/>
    <w:rsid w:val="457572C5"/>
    <w:rsid w:val="459D60E3"/>
    <w:rsid w:val="45B70627"/>
    <w:rsid w:val="45CA5863"/>
    <w:rsid w:val="45E5444B"/>
    <w:rsid w:val="46362EF9"/>
    <w:rsid w:val="465515D1"/>
    <w:rsid w:val="468E4AE3"/>
    <w:rsid w:val="46F54E2D"/>
    <w:rsid w:val="46FD57C4"/>
    <w:rsid w:val="47925F0D"/>
    <w:rsid w:val="47A143DA"/>
    <w:rsid w:val="47E81E53"/>
    <w:rsid w:val="48A028AB"/>
    <w:rsid w:val="48B545A9"/>
    <w:rsid w:val="495C0DBE"/>
    <w:rsid w:val="49CB1BAA"/>
    <w:rsid w:val="4A070E34"/>
    <w:rsid w:val="4A4F4589"/>
    <w:rsid w:val="4AB60164"/>
    <w:rsid w:val="4B8E06C7"/>
    <w:rsid w:val="4C934BC0"/>
    <w:rsid w:val="4CFB09F8"/>
    <w:rsid w:val="4D057181"/>
    <w:rsid w:val="4D447CA9"/>
    <w:rsid w:val="4D5123C6"/>
    <w:rsid w:val="4D6B792C"/>
    <w:rsid w:val="4DA16EA9"/>
    <w:rsid w:val="4DDA060D"/>
    <w:rsid w:val="4DED1912"/>
    <w:rsid w:val="4E257ADB"/>
    <w:rsid w:val="4E353A96"/>
    <w:rsid w:val="4EAD187E"/>
    <w:rsid w:val="4EB175C0"/>
    <w:rsid w:val="4EB62E28"/>
    <w:rsid w:val="4F0911AA"/>
    <w:rsid w:val="4F1F277C"/>
    <w:rsid w:val="4F78309C"/>
    <w:rsid w:val="4F7E394E"/>
    <w:rsid w:val="50A20D13"/>
    <w:rsid w:val="50AD3DB7"/>
    <w:rsid w:val="50AF7B2F"/>
    <w:rsid w:val="50B02F71"/>
    <w:rsid w:val="50C26CF2"/>
    <w:rsid w:val="50EC0D83"/>
    <w:rsid w:val="50FE0CB7"/>
    <w:rsid w:val="512D188F"/>
    <w:rsid w:val="51363DAD"/>
    <w:rsid w:val="513B5867"/>
    <w:rsid w:val="5144673C"/>
    <w:rsid w:val="519D207E"/>
    <w:rsid w:val="51EC090F"/>
    <w:rsid w:val="51FB00AC"/>
    <w:rsid w:val="52E57838"/>
    <w:rsid w:val="542B3971"/>
    <w:rsid w:val="54335EE7"/>
    <w:rsid w:val="5463310B"/>
    <w:rsid w:val="54AF45A2"/>
    <w:rsid w:val="54C142D5"/>
    <w:rsid w:val="55254864"/>
    <w:rsid w:val="553C395C"/>
    <w:rsid w:val="55BA1450"/>
    <w:rsid w:val="56037691"/>
    <w:rsid w:val="56083D8A"/>
    <w:rsid w:val="56135E24"/>
    <w:rsid w:val="564017AC"/>
    <w:rsid w:val="567B0721"/>
    <w:rsid w:val="56F97D56"/>
    <w:rsid w:val="57081D47"/>
    <w:rsid w:val="57E97DCB"/>
    <w:rsid w:val="57EF1159"/>
    <w:rsid w:val="583059FA"/>
    <w:rsid w:val="5847689F"/>
    <w:rsid w:val="58532B2C"/>
    <w:rsid w:val="58984204"/>
    <w:rsid w:val="58C47EF0"/>
    <w:rsid w:val="59285798"/>
    <w:rsid w:val="596F60AE"/>
    <w:rsid w:val="5A2A0227"/>
    <w:rsid w:val="5A7B0A82"/>
    <w:rsid w:val="5B0311A3"/>
    <w:rsid w:val="5BB5218E"/>
    <w:rsid w:val="5BE400B6"/>
    <w:rsid w:val="5BFE5E0F"/>
    <w:rsid w:val="5CAA564F"/>
    <w:rsid w:val="5E361890"/>
    <w:rsid w:val="5EDA046D"/>
    <w:rsid w:val="5EE237C6"/>
    <w:rsid w:val="5EFF7ED4"/>
    <w:rsid w:val="5F7679C4"/>
    <w:rsid w:val="5F7F2DC3"/>
    <w:rsid w:val="5FBF1411"/>
    <w:rsid w:val="601A09BC"/>
    <w:rsid w:val="6038613D"/>
    <w:rsid w:val="60395667"/>
    <w:rsid w:val="60AA0313"/>
    <w:rsid w:val="610D33E8"/>
    <w:rsid w:val="615E35D8"/>
    <w:rsid w:val="619568CD"/>
    <w:rsid w:val="61E67129"/>
    <w:rsid w:val="621A5025"/>
    <w:rsid w:val="62CC27C3"/>
    <w:rsid w:val="6324615B"/>
    <w:rsid w:val="635A7DCF"/>
    <w:rsid w:val="637D586B"/>
    <w:rsid w:val="63872EA4"/>
    <w:rsid w:val="63F26259"/>
    <w:rsid w:val="64061D04"/>
    <w:rsid w:val="640A365A"/>
    <w:rsid w:val="640E2967"/>
    <w:rsid w:val="64754794"/>
    <w:rsid w:val="64FD7B2B"/>
    <w:rsid w:val="657B402C"/>
    <w:rsid w:val="65C07C91"/>
    <w:rsid w:val="66AF4608"/>
    <w:rsid w:val="66CA526B"/>
    <w:rsid w:val="67C12792"/>
    <w:rsid w:val="67DD0FCE"/>
    <w:rsid w:val="687436E1"/>
    <w:rsid w:val="687A681D"/>
    <w:rsid w:val="68D73C6F"/>
    <w:rsid w:val="690B56C7"/>
    <w:rsid w:val="696A4D66"/>
    <w:rsid w:val="69867965"/>
    <w:rsid w:val="699456BD"/>
    <w:rsid w:val="6A4E3ABD"/>
    <w:rsid w:val="6A9A31A7"/>
    <w:rsid w:val="6AD06BC8"/>
    <w:rsid w:val="6B3929BF"/>
    <w:rsid w:val="6B3D425E"/>
    <w:rsid w:val="6B431148"/>
    <w:rsid w:val="6B56531F"/>
    <w:rsid w:val="6B575C91"/>
    <w:rsid w:val="6BB8040C"/>
    <w:rsid w:val="6C5C6966"/>
    <w:rsid w:val="6C6E5E1A"/>
    <w:rsid w:val="6C8E2897"/>
    <w:rsid w:val="6CDF30F3"/>
    <w:rsid w:val="6D282CEC"/>
    <w:rsid w:val="6D921E65"/>
    <w:rsid w:val="6DF606F4"/>
    <w:rsid w:val="6E267136"/>
    <w:rsid w:val="6E2D67FA"/>
    <w:rsid w:val="6E6E0BD2"/>
    <w:rsid w:val="6E91041D"/>
    <w:rsid w:val="6ECB392F"/>
    <w:rsid w:val="6F562B93"/>
    <w:rsid w:val="6FA348AB"/>
    <w:rsid w:val="6FBB39A3"/>
    <w:rsid w:val="6FD23894"/>
    <w:rsid w:val="6FE23626"/>
    <w:rsid w:val="70383246"/>
    <w:rsid w:val="703D260A"/>
    <w:rsid w:val="7060279C"/>
    <w:rsid w:val="70626FA0"/>
    <w:rsid w:val="70756EB2"/>
    <w:rsid w:val="71244F6F"/>
    <w:rsid w:val="71E73078"/>
    <w:rsid w:val="7258197D"/>
    <w:rsid w:val="72C60FDD"/>
    <w:rsid w:val="72EB27F1"/>
    <w:rsid w:val="730241B0"/>
    <w:rsid w:val="731A1328"/>
    <w:rsid w:val="73587D13"/>
    <w:rsid w:val="743B50B2"/>
    <w:rsid w:val="744F3BE1"/>
    <w:rsid w:val="74BF5CE3"/>
    <w:rsid w:val="74E514C2"/>
    <w:rsid w:val="750977D2"/>
    <w:rsid w:val="75263FB5"/>
    <w:rsid w:val="75693EA1"/>
    <w:rsid w:val="75B25848"/>
    <w:rsid w:val="766528BB"/>
    <w:rsid w:val="768F268A"/>
    <w:rsid w:val="76C92E49"/>
    <w:rsid w:val="77617526"/>
    <w:rsid w:val="777A05E8"/>
    <w:rsid w:val="781A1483"/>
    <w:rsid w:val="781F0851"/>
    <w:rsid w:val="7820118F"/>
    <w:rsid w:val="782A7918"/>
    <w:rsid w:val="78B00E0E"/>
    <w:rsid w:val="78C94F9D"/>
    <w:rsid w:val="78FD502C"/>
    <w:rsid w:val="79567019"/>
    <w:rsid w:val="796450AB"/>
    <w:rsid w:val="79EB30D7"/>
    <w:rsid w:val="7A293F0A"/>
    <w:rsid w:val="7A5E24AA"/>
    <w:rsid w:val="7ACB4CB6"/>
    <w:rsid w:val="7B02692A"/>
    <w:rsid w:val="7B486307"/>
    <w:rsid w:val="7B5B603A"/>
    <w:rsid w:val="7B5C744A"/>
    <w:rsid w:val="7BA55C3B"/>
    <w:rsid w:val="7BB51BEE"/>
    <w:rsid w:val="7BD858DD"/>
    <w:rsid w:val="7BE9361F"/>
    <w:rsid w:val="7C6B49A3"/>
    <w:rsid w:val="7C765821"/>
    <w:rsid w:val="7C856E44"/>
    <w:rsid w:val="7CD24A22"/>
    <w:rsid w:val="7D366D5F"/>
    <w:rsid w:val="7DD722F0"/>
    <w:rsid w:val="7E32210A"/>
    <w:rsid w:val="7E7713DD"/>
    <w:rsid w:val="7EB10D93"/>
    <w:rsid w:val="7EC87E8B"/>
    <w:rsid w:val="7EF70770"/>
    <w:rsid w:val="7F052E8D"/>
    <w:rsid w:val="7F270942"/>
    <w:rsid w:val="7F413799"/>
    <w:rsid w:val="7F480FCB"/>
    <w:rsid w:val="7F5D6825"/>
    <w:rsid w:val="7F671451"/>
    <w:rsid w:val="7F674918"/>
    <w:rsid w:val="7FB83A5B"/>
    <w:rsid w:val="7FBA3C77"/>
    <w:rsid w:val="7FEC7BA9"/>
    <w:rsid w:val="7FF6458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semiHidden="0" w:name="heading 2"/>
    <w:lsdException w:qFormat="1" w:uiPriority="9" w:name="heading 3"/>
    <w:lsdException w:qFormat="1" w:uiPriority="9" w:name="heading 4"/>
    <w:lsdException w:qFormat="1" w:uiPriority="9" w:name="heading 5"/>
    <w:lsdException w:qFormat="1" w:uiPriority="9" w:name="heading 6"/>
    <w:lsdException w:qFormat="1" w:uiPriority="0" w:semiHidden="0"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sdException w:uiPriority="99" w:name="Salutation"/>
    <w:lsdException w:uiPriority="99" w:name="Date"/>
    <w:lsdException w:qFormat="1" w:unhideWhenUsed="0" w:uiPriority="0" w:semiHidden="0" w:name="Body Text First Indent"/>
    <w:lsdException w:qFormat="1" w:unhideWhenUsed="0" w:uiPriority="0"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nhideWhenUsed="0" w:uiPriority="0" w:semiHidden="0" w:name="Hyperlink"/>
    <w:lsdException w:uiPriority="99" w:name="FollowedHyperlink"/>
    <w:lsdException w:qFormat="1" w:unhideWhenUsed="0" w:uiPriority="0"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link w:val="30"/>
    <w:qFormat/>
    <w:uiPriority w:val="0"/>
    <w:pPr>
      <w:keepNext/>
      <w:keepLines/>
      <w:spacing w:before="340" w:after="330" w:line="578" w:lineRule="auto"/>
      <w:outlineLvl w:val="0"/>
    </w:pPr>
    <w:rPr>
      <w:rFonts w:ascii="Calibri" w:hAnsi="Calibri" w:eastAsia="宋体" w:cs="Times New Roman"/>
      <w:b/>
      <w:bCs/>
      <w:kern w:val="44"/>
      <w:sz w:val="44"/>
      <w:szCs w:val="44"/>
    </w:rPr>
  </w:style>
  <w:style w:type="paragraph" w:styleId="3">
    <w:name w:val="heading 2"/>
    <w:basedOn w:val="1"/>
    <w:next w:val="1"/>
    <w:link w:val="24"/>
    <w:autoRedefine/>
    <w:unhideWhenUsed/>
    <w:qFormat/>
    <w:uiPriority w:val="9"/>
    <w:pPr>
      <w:keepNext/>
      <w:keepLines/>
      <w:widowControl/>
      <w:adjustRightInd w:val="0"/>
      <w:snapToGrid w:val="0"/>
      <w:spacing w:line="360" w:lineRule="auto"/>
      <w:jc w:val="left"/>
      <w:outlineLvl w:val="1"/>
    </w:pPr>
    <w:rPr>
      <w:rFonts w:ascii="宋体" w:hAnsi="宋体" w:eastAsia="宋体" w:cs="宋体"/>
      <w:b/>
      <w:bCs/>
      <w:kern w:val="0"/>
      <w:sz w:val="28"/>
      <w:szCs w:val="28"/>
    </w:rPr>
  </w:style>
  <w:style w:type="paragraph" w:styleId="4">
    <w:name w:val="heading 3"/>
    <w:basedOn w:val="1"/>
    <w:next w:val="1"/>
    <w:link w:val="25"/>
    <w:autoRedefine/>
    <w:semiHidden/>
    <w:unhideWhenUsed/>
    <w:qFormat/>
    <w:uiPriority w:val="9"/>
    <w:pPr>
      <w:keepNext/>
      <w:keepLines/>
      <w:spacing w:before="260" w:after="260" w:line="416" w:lineRule="auto"/>
      <w:outlineLvl w:val="2"/>
    </w:pPr>
    <w:rPr>
      <w:b/>
      <w:bCs/>
      <w:sz w:val="32"/>
      <w:szCs w:val="32"/>
    </w:rPr>
  </w:style>
  <w:style w:type="paragraph" w:styleId="5">
    <w:name w:val="heading 4"/>
    <w:basedOn w:val="1"/>
    <w:next w:val="1"/>
    <w:link w:val="26"/>
    <w:autoRedefine/>
    <w:semiHidden/>
    <w:unhideWhenUsed/>
    <w:qFormat/>
    <w:uiPriority w:val="9"/>
    <w:pPr>
      <w:keepNext/>
      <w:keepLines/>
      <w:spacing w:before="280" w:after="290" w:line="376" w:lineRule="auto"/>
      <w:outlineLvl w:val="3"/>
    </w:pPr>
    <w:rPr>
      <w:rFonts w:asciiTheme="majorHAnsi" w:hAnsiTheme="majorHAnsi" w:eastAsiaTheme="majorEastAsia" w:cstheme="majorBidi"/>
      <w:b/>
      <w:bCs/>
      <w:sz w:val="28"/>
      <w:szCs w:val="28"/>
    </w:rPr>
  </w:style>
  <w:style w:type="paragraph" w:styleId="6">
    <w:name w:val="heading 7"/>
    <w:basedOn w:val="1"/>
    <w:next w:val="1"/>
    <w:unhideWhenUsed/>
    <w:qFormat/>
    <w:uiPriority w:val="0"/>
    <w:pPr>
      <w:keepNext/>
      <w:keepLines/>
      <w:spacing w:before="260" w:after="120" w:line="320" w:lineRule="auto"/>
      <w:outlineLvl w:val="6"/>
    </w:pPr>
    <w:rPr>
      <w:rFonts w:ascii="Times New Roman" w:hAnsi="Times New Roman" w:eastAsia="楷体" w:cstheme="minorBidi"/>
      <w:b/>
      <w:bCs/>
      <w:sz w:val="24"/>
      <w:szCs w:val="24"/>
    </w:rPr>
  </w:style>
  <w:style w:type="character" w:default="1" w:styleId="19">
    <w:name w:val="Default Paragraph Font"/>
    <w:autoRedefine/>
    <w:semiHidden/>
    <w:unhideWhenUsed/>
    <w:qFormat/>
    <w:uiPriority w:val="1"/>
  </w:style>
  <w:style w:type="table" w:default="1" w:styleId="17">
    <w:name w:val="Normal Table"/>
    <w:semiHidden/>
    <w:unhideWhenUsed/>
    <w:qFormat/>
    <w:uiPriority w:val="99"/>
    <w:tblPr>
      <w:tblCellMar>
        <w:top w:w="0" w:type="dxa"/>
        <w:left w:w="108" w:type="dxa"/>
        <w:bottom w:w="0" w:type="dxa"/>
        <w:right w:w="108" w:type="dxa"/>
      </w:tblCellMar>
    </w:tblPr>
  </w:style>
  <w:style w:type="paragraph" w:styleId="7">
    <w:name w:val="Body Text"/>
    <w:basedOn w:val="1"/>
    <w:autoRedefine/>
    <w:qFormat/>
    <w:uiPriority w:val="0"/>
    <w:pPr>
      <w:spacing w:after="120" w:afterLines="0" w:afterAutospacing="0"/>
    </w:pPr>
  </w:style>
  <w:style w:type="paragraph" w:styleId="8">
    <w:name w:val="Body Text Indent"/>
    <w:basedOn w:val="1"/>
    <w:next w:val="9"/>
    <w:qFormat/>
    <w:uiPriority w:val="0"/>
    <w:pPr>
      <w:spacing w:after="120" w:afterLines="0" w:afterAutospacing="0"/>
      <w:ind w:left="420" w:leftChars="200"/>
    </w:pPr>
  </w:style>
  <w:style w:type="paragraph" w:customStyle="1" w:styleId="9">
    <w:name w:val="样式 正文文本缩进 + 行距: 1.5 倍行距"/>
    <w:basedOn w:val="1"/>
    <w:qFormat/>
    <w:uiPriority w:val="0"/>
    <w:pPr>
      <w:spacing w:after="120"/>
      <w:ind w:left="90" w:leftChars="32" w:firstLine="560"/>
    </w:pPr>
    <w:rPr>
      <w:rFonts w:cs="宋体"/>
    </w:rPr>
  </w:style>
  <w:style w:type="paragraph" w:styleId="10">
    <w:name w:val="footer"/>
    <w:basedOn w:val="1"/>
    <w:link w:val="29"/>
    <w:autoRedefine/>
    <w:unhideWhenUsed/>
    <w:qFormat/>
    <w:uiPriority w:val="99"/>
    <w:pPr>
      <w:tabs>
        <w:tab w:val="center" w:pos="4153"/>
        <w:tab w:val="right" w:pos="8306"/>
      </w:tabs>
      <w:snapToGrid w:val="0"/>
      <w:jc w:val="left"/>
    </w:pPr>
    <w:rPr>
      <w:sz w:val="18"/>
      <w:szCs w:val="18"/>
    </w:rPr>
  </w:style>
  <w:style w:type="paragraph" w:styleId="11">
    <w:name w:val="header"/>
    <w:basedOn w:val="1"/>
    <w:link w:val="28"/>
    <w:autoRedefine/>
    <w:unhideWhenUsed/>
    <w:qFormat/>
    <w:uiPriority w:val="99"/>
    <w:pPr>
      <w:pBdr>
        <w:bottom w:val="single" w:color="auto" w:sz="6" w:space="1"/>
      </w:pBdr>
      <w:tabs>
        <w:tab w:val="center" w:pos="4153"/>
        <w:tab w:val="right" w:pos="8306"/>
      </w:tabs>
      <w:snapToGrid w:val="0"/>
      <w:jc w:val="center"/>
    </w:pPr>
    <w:rPr>
      <w:sz w:val="18"/>
      <w:szCs w:val="18"/>
    </w:rPr>
  </w:style>
  <w:style w:type="paragraph" w:styleId="12">
    <w:name w:val="Subtitle"/>
    <w:basedOn w:val="1"/>
    <w:next w:val="1"/>
    <w:link w:val="31"/>
    <w:autoRedefine/>
    <w:qFormat/>
    <w:uiPriority w:val="0"/>
    <w:pPr>
      <w:spacing w:line="400" w:lineRule="exact"/>
      <w:jc w:val="center"/>
    </w:pPr>
    <w:rPr>
      <w:rFonts w:ascii="Calibri" w:hAnsi="Calibri" w:eastAsia="楷体" w:cs="Times New Roman"/>
      <w:b/>
      <w:bCs/>
      <w:kern w:val="28"/>
      <w:szCs w:val="32"/>
    </w:rPr>
  </w:style>
  <w:style w:type="paragraph" w:styleId="13">
    <w:name w:val="Normal (Web)"/>
    <w:basedOn w:val="1"/>
    <w:unhideWhenUsed/>
    <w:qFormat/>
    <w:uiPriority w:val="99"/>
    <w:pPr>
      <w:widowControl/>
      <w:spacing w:before="100" w:beforeAutospacing="1" w:after="100" w:afterAutospacing="1"/>
      <w:jc w:val="left"/>
    </w:pPr>
    <w:rPr>
      <w:rFonts w:ascii="宋体" w:hAnsi="宋体" w:eastAsia="宋体" w:cs="宋体"/>
      <w:kern w:val="0"/>
      <w:sz w:val="24"/>
      <w:szCs w:val="24"/>
    </w:rPr>
  </w:style>
  <w:style w:type="paragraph" w:styleId="14">
    <w:name w:val="Title"/>
    <w:basedOn w:val="5"/>
    <w:next w:val="1"/>
    <w:link w:val="27"/>
    <w:qFormat/>
    <w:uiPriority w:val="10"/>
    <w:pPr>
      <w:adjustRightInd w:val="0"/>
      <w:snapToGrid w:val="0"/>
      <w:spacing w:before="0" w:after="0" w:line="360" w:lineRule="auto"/>
      <w:jc w:val="center"/>
    </w:pPr>
    <w:rPr>
      <w:rFonts w:ascii="黑体" w:hAnsi="黑体" w:eastAsia="黑体" w:cs="黑体"/>
      <w:sz w:val="24"/>
      <w:szCs w:val="24"/>
    </w:rPr>
  </w:style>
  <w:style w:type="paragraph" w:styleId="15">
    <w:name w:val="Body Text First Indent"/>
    <w:basedOn w:val="7"/>
    <w:autoRedefine/>
    <w:qFormat/>
    <w:uiPriority w:val="0"/>
    <w:pPr>
      <w:ind w:firstLine="420" w:firstLineChars="100"/>
    </w:pPr>
  </w:style>
  <w:style w:type="paragraph" w:styleId="16">
    <w:name w:val="Body Text First Indent 2"/>
    <w:basedOn w:val="8"/>
    <w:next w:val="1"/>
    <w:qFormat/>
    <w:uiPriority w:val="0"/>
    <w:pPr>
      <w:ind w:firstLine="420" w:firstLineChars="200"/>
    </w:pPr>
  </w:style>
  <w:style w:type="table" w:styleId="18">
    <w:name w:val="Table Grid"/>
    <w:basedOn w:val="17"/>
    <w:autoRedefine/>
    <w:qFormat/>
    <w:uiPriority w:val="59"/>
    <w:rPr>
      <w:rFonts w:ascii="Calibri" w:hAnsi="Calibri" w:eastAsia="微软雅黑" w:cs="Times New Roman"/>
      <w:kern w:val="0"/>
      <w:sz w:val="20"/>
      <w:szCs w:val="20"/>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character" w:styleId="20">
    <w:name w:val="Strong"/>
    <w:basedOn w:val="19"/>
    <w:qFormat/>
    <w:uiPriority w:val="0"/>
    <w:rPr>
      <w:b/>
    </w:rPr>
  </w:style>
  <w:style w:type="character" w:styleId="21">
    <w:name w:val="Hyperlink"/>
    <w:basedOn w:val="19"/>
    <w:qFormat/>
    <w:uiPriority w:val="0"/>
    <w:rPr>
      <w:color w:val="0000FF"/>
      <w:u w:val="single"/>
    </w:rPr>
  </w:style>
  <w:style w:type="paragraph" w:customStyle="1" w:styleId="22">
    <w:name w:val="0正文"/>
    <w:basedOn w:val="1"/>
    <w:qFormat/>
    <w:uiPriority w:val="0"/>
    <w:pPr>
      <w:ind w:firstLine="480" w:firstLineChars="200"/>
    </w:pPr>
  </w:style>
  <w:style w:type="character" w:customStyle="1" w:styleId="23">
    <w:name w:val="标题 2 字符"/>
    <w:basedOn w:val="19"/>
    <w:autoRedefine/>
    <w:semiHidden/>
    <w:qFormat/>
    <w:uiPriority w:val="9"/>
    <w:rPr>
      <w:rFonts w:asciiTheme="majorHAnsi" w:hAnsiTheme="majorHAnsi" w:eastAsiaTheme="majorEastAsia" w:cstheme="majorBidi"/>
      <w:b/>
      <w:bCs/>
      <w:sz w:val="32"/>
      <w:szCs w:val="32"/>
    </w:rPr>
  </w:style>
  <w:style w:type="character" w:customStyle="1" w:styleId="24">
    <w:name w:val="标题 2 字符1"/>
    <w:link w:val="3"/>
    <w:autoRedefine/>
    <w:qFormat/>
    <w:uiPriority w:val="9"/>
    <w:rPr>
      <w:rFonts w:ascii="宋体" w:hAnsi="宋体" w:eastAsia="宋体" w:cs="宋体"/>
      <w:b/>
      <w:bCs/>
      <w:kern w:val="0"/>
      <w:sz w:val="28"/>
      <w:szCs w:val="28"/>
    </w:rPr>
  </w:style>
  <w:style w:type="character" w:customStyle="1" w:styleId="25">
    <w:name w:val="标题 3 字符"/>
    <w:basedOn w:val="19"/>
    <w:link w:val="4"/>
    <w:autoRedefine/>
    <w:semiHidden/>
    <w:qFormat/>
    <w:uiPriority w:val="9"/>
    <w:rPr>
      <w:b/>
      <w:bCs/>
      <w:sz w:val="32"/>
      <w:szCs w:val="32"/>
    </w:rPr>
  </w:style>
  <w:style w:type="character" w:customStyle="1" w:styleId="26">
    <w:name w:val="标题 4 字符"/>
    <w:basedOn w:val="19"/>
    <w:link w:val="5"/>
    <w:autoRedefine/>
    <w:semiHidden/>
    <w:qFormat/>
    <w:uiPriority w:val="9"/>
    <w:rPr>
      <w:rFonts w:asciiTheme="majorHAnsi" w:hAnsiTheme="majorHAnsi" w:eastAsiaTheme="majorEastAsia" w:cstheme="majorBidi"/>
      <w:b/>
      <w:bCs/>
      <w:sz w:val="28"/>
      <w:szCs w:val="28"/>
    </w:rPr>
  </w:style>
  <w:style w:type="character" w:customStyle="1" w:styleId="27">
    <w:name w:val="标题 字符"/>
    <w:basedOn w:val="19"/>
    <w:link w:val="14"/>
    <w:autoRedefine/>
    <w:qFormat/>
    <w:uiPriority w:val="10"/>
    <w:rPr>
      <w:rFonts w:ascii="黑体" w:hAnsi="黑体" w:eastAsia="黑体" w:cs="黑体"/>
      <w:b/>
      <w:bCs/>
      <w:sz w:val="24"/>
      <w:szCs w:val="24"/>
    </w:rPr>
  </w:style>
  <w:style w:type="character" w:customStyle="1" w:styleId="28">
    <w:name w:val="页眉 字符"/>
    <w:basedOn w:val="19"/>
    <w:link w:val="11"/>
    <w:autoRedefine/>
    <w:qFormat/>
    <w:uiPriority w:val="99"/>
    <w:rPr>
      <w:sz w:val="18"/>
      <w:szCs w:val="18"/>
    </w:rPr>
  </w:style>
  <w:style w:type="character" w:customStyle="1" w:styleId="29">
    <w:name w:val="页脚 字符"/>
    <w:basedOn w:val="19"/>
    <w:link w:val="10"/>
    <w:autoRedefine/>
    <w:qFormat/>
    <w:uiPriority w:val="99"/>
    <w:rPr>
      <w:sz w:val="18"/>
      <w:szCs w:val="18"/>
    </w:rPr>
  </w:style>
  <w:style w:type="character" w:customStyle="1" w:styleId="30">
    <w:name w:val="标题 1 字符"/>
    <w:basedOn w:val="19"/>
    <w:link w:val="2"/>
    <w:autoRedefine/>
    <w:qFormat/>
    <w:uiPriority w:val="0"/>
    <w:rPr>
      <w:rFonts w:ascii="Calibri" w:hAnsi="Calibri" w:eastAsia="宋体" w:cs="Times New Roman"/>
      <w:b/>
      <w:bCs/>
      <w:kern w:val="44"/>
      <w:sz w:val="44"/>
      <w:szCs w:val="44"/>
    </w:rPr>
  </w:style>
  <w:style w:type="character" w:customStyle="1" w:styleId="31">
    <w:name w:val="副标题 字符"/>
    <w:basedOn w:val="19"/>
    <w:link w:val="12"/>
    <w:autoRedefine/>
    <w:qFormat/>
    <w:uiPriority w:val="0"/>
    <w:rPr>
      <w:rFonts w:ascii="Calibri" w:hAnsi="Calibri" w:eastAsia="楷体" w:cs="Times New Roman"/>
      <w:b/>
      <w:bCs/>
      <w:kern w:val="28"/>
      <w:szCs w:val="32"/>
    </w:rPr>
  </w:style>
  <w:style w:type="paragraph" w:styleId="32">
    <w:name w:val="List Paragraph"/>
    <w:basedOn w:val="1"/>
    <w:autoRedefine/>
    <w:qFormat/>
    <w:uiPriority w:val="34"/>
    <w:pPr>
      <w:ind w:firstLine="420" w:firstLineChars="200"/>
    </w:pPr>
  </w:style>
  <w:style w:type="paragraph" w:customStyle="1" w:styleId="33">
    <w:name w:val="普通(网站) Char"/>
    <w:basedOn w:val="1"/>
    <w:autoRedefine/>
    <w:qFormat/>
    <w:uiPriority w:val="0"/>
    <w:pPr>
      <w:spacing w:before="0" w:beforeAutospacing="1" w:after="0" w:afterAutospacing="1"/>
      <w:ind w:left="0" w:right="0"/>
      <w:jc w:val="left"/>
    </w:pPr>
    <w:rPr>
      <w:rFonts w:hint="eastAsia" w:ascii="宋体" w:hAnsi="宋体" w:eastAsia="宋体" w:cs="宋体"/>
      <w:kern w:val="0"/>
      <w:sz w:val="24"/>
      <w:szCs w:val="24"/>
      <w:lang w:val="en-US" w:eastAsia="zh-CN" w:bidi="ar"/>
    </w:rPr>
  </w:style>
  <w:style w:type="paragraph" w:customStyle="1" w:styleId="34">
    <w:name w:val="普通(网站) Char Char"/>
    <w:basedOn w:val="1"/>
    <w:autoRedefine/>
    <w:qFormat/>
    <w:uiPriority w:val="0"/>
    <w:pPr>
      <w:spacing w:before="0" w:beforeAutospacing="1" w:after="0" w:afterAutospacing="1"/>
      <w:ind w:left="0" w:right="0"/>
      <w:jc w:val="left"/>
    </w:pPr>
    <w:rPr>
      <w:rFonts w:hint="eastAsia" w:ascii="宋体" w:hAnsi="宋体" w:eastAsia="宋体" w:cs="宋体"/>
      <w:kern w:val="0"/>
      <w:sz w:val="24"/>
      <w:szCs w:val="24"/>
      <w:lang w:val="en-US" w:eastAsia="zh-CN" w:bidi="ar"/>
    </w:rPr>
  </w:style>
  <w:style w:type="paragraph" w:customStyle="1" w:styleId="35">
    <w:name w:val="+正文"/>
    <w:basedOn w:val="1"/>
    <w:qFormat/>
    <w:uiPriority w:val="99"/>
    <w:pPr>
      <w:spacing w:line="360" w:lineRule="auto"/>
      <w:ind w:firstLine="200" w:firstLineChars="200"/>
    </w:pPr>
    <w:rPr>
      <w:rFonts w:ascii="Times New Roman" w:hAnsi="Times New Roman" w:cs="Times New Roman"/>
      <w:sz w:val="24"/>
      <w:szCs w:val="24"/>
    </w:rPr>
  </w:style>
  <w:style w:type="paragraph" w:customStyle="1" w:styleId="36">
    <w:name w:val="表格内容"/>
    <w:basedOn w:val="1"/>
    <w:qFormat/>
    <w:uiPriority w:val="99"/>
    <w:pPr>
      <w:widowControl/>
      <w:overflowPunct w:val="0"/>
      <w:autoSpaceDE w:val="0"/>
      <w:autoSpaceDN w:val="0"/>
      <w:adjustRightInd w:val="0"/>
      <w:jc w:val="center"/>
      <w:textAlignment w:val="baseline"/>
    </w:pPr>
    <w:rPr>
      <w:rFonts w:ascii="Times New Roman" w:hAnsi="Times New Roman" w:cs="Times New Roman"/>
      <w:kern w:val="0"/>
    </w:rPr>
  </w:style>
  <w:style w:type="paragraph" w:customStyle="1" w:styleId="37">
    <w:name w:val="表格内容-居中"/>
    <w:basedOn w:val="1"/>
    <w:qFormat/>
    <w:uiPriority w:val="99"/>
    <w:pPr>
      <w:widowControl/>
      <w:overflowPunct w:val="0"/>
      <w:autoSpaceDE w:val="0"/>
      <w:autoSpaceDN w:val="0"/>
      <w:adjustRightInd w:val="0"/>
      <w:spacing w:before="40" w:after="40" w:line="300" w:lineRule="exact"/>
      <w:jc w:val="center"/>
      <w:textAlignment w:val="baseline"/>
    </w:pPr>
    <w:rPr>
      <w:rFonts w:ascii="Times New Roman" w:hAnsi="Times New Roman" w:cs="Times New Roman"/>
      <w:kern w:val="0"/>
      <w:sz w:val="24"/>
      <w:szCs w:val="24"/>
    </w:rPr>
  </w:style>
  <w:style w:type="character" w:customStyle="1" w:styleId="38">
    <w:name w:val="font31"/>
    <w:basedOn w:val="19"/>
    <w:qFormat/>
    <w:uiPriority w:val="0"/>
    <w:rPr>
      <w:rFonts w:hint="eastAsia" w:ascii="华文楷体" w:hAnsi="华文楷体" w:eastAsia="华文楷体" w:cs="华文楷体"/>
      <w:color w:val="000000"/>
      <w:sz w:val="22"/>
      <w:szCs w:val="22"/>
      <w:u w:val="none"/>
      <w:vertAlign w:val="subscript"/>
    </w:rPr>
  </w:style>
  <w:style w:type="character" w:customStyle="1" w:styleId="39">
    <w:name w:val="font21"/>
    <w:basedOn w:val="19"/>
    <w:qFormat/>
    <w:uiPriority w:val="0"/>
    <w:rPr>
      <w:rFonts w:hint="eastAsia" w:ascii="华文楷体" w:hAnsi="华文楷体" w:eastAsia="华文楷体" w:cs="华文楷体"/>
      <w:color w:val="000000"/>
      <w:sz w:val="22"/>
      <w:szCs w:val="22"/>
      <w:u w:val="none"/>
    </w:rPr>
  </w:style>
  <w:style w:type="character" w:customStyle="1" w:styleId="40">
    <w:name w:val="font41"/>
    <w:basedOn w:val="19"/>
    <w:qFormat/>
    <w:uiPriority w:val="0"/>
    <w:rPr>
      <w:rFonts w:hint="eastAsia" w:ascii="华文楷体" w:hAnsi="华文楷体" w:eastAsia="华文楷体" w:cs="华文楷体"/>
      <w:color w:val="000000"/>
      <w:sz w:val="22"/>
      <w:szCs w:val="22"/>
      <w:u w:val="none"/>
      <w:vertAlign w:val="superscript"/>
    </w:rPr>
  </w:style>
  <w:style w:type="character" w:customStyle="1" w:styleId="41">
    <w:name w:val="font11"/>
    <w:basedOn w:val="19"/>
    <w:qFormat/>
    <w:uiPriority w:val="0"/>
    <w:rPr>
      <w:rFonts w:hint="eastAsia" w:ascii="华文楷体" w:hAnsi="华文楷体" w:eastAsia="华文楷体" w:cs="华文楷体"/>
      <w:color w:val="000000"/>
      <w:sz w:val="22"/>
      <w:szCs w:val="22"/>
      <w:u w:val="none"/>
    </w:rPr>
  </w:style>
  <w:style w:type="paragraph" w:customStyle="1" w:styleId="42">
    <w:name w:val="EndNote Bibliography"/>
    <w:basedOn w:val="1"/>
    <w:autoRedefine/>
    <w:qFormat/>
    <w:uiPriority w:val="0"/>
    <w:pPr>
      <w:ind w:firstLine="200" w:firstLineChars="200"/>
      <w:jc w:val="left"/>
    </w:pPr>
    <w:rPr>
      <w:sz w:val="20"/>
    </w:rPr>
  </w:style>
  <w:style w:type="paragraph" w:customStyle="1" w:styleId="43">
    <w:name w:val="列出段落1"/>
    <w:basedOn w:val="1"/>
    <w:qFormat/>
    <w:uiPriority w:val="34"/>
    <w:pPr>
      <w:ind w:firstLine="420" w:firstLineChars="200"/>
    </w:pPr>
  </w:style>
  <w:style w:type="paragraph" w:customStyle="1" w:styleId="44">
    <w:name w:val="正文文本1"/>
    <w:basedOn w:val="1"/>
    <w:qFormat/>
    <w:uiPriority w:val="0"/>
    <w:pPr>
      <w:shd w:val="clear" w:color="auto" w:fill="FFFFFF"/>
      <w:spacing w:line="610" w:lineRule="exact"/>
      <w:jc w:val="center"/>
    </w:pPr>
    <w:rPr>
      <w:rFonts w:ascii="宋体" w:hAnsi="宋体" w:eastAsia="宋体" w:cs="宋体"/>
      <w:sz w:val="28"/>
      <w:szCs w:val="2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hart" Target="charts/chart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charts/_rels/chart1.xml.rels><?xml version="1.0" encoding="UTF-8" standalone="yes"?>
<Relationships xmlns="http://schemas.openxmlformats.org/package/2006/relationships"><Relationship Id="rId3" Type="http://schemas.microsoft.com/office/2011/relationships/chartColorStyle" Target="colors1.xml"/><Relationship Id="rId2" Type="http://schemas.microsoft.com/office/2011/relationships/chartStyle" Target="style1.xml"/><Relationship Id="rId1" Type="http://schemas.openxmlformats.org/officeDocument/2006/relationships/oleObject" Target="file:///C:\Users\74186\Desktop\&#25968;&#25454;.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r>
              <a:rPr lang="en-US" altLang="zh-CN"/>
              <a:t>2020-2025</a:t>
            </a:r>
            <a:r>
              <a:rPr lang="zh-CN" altLang="en-US"/>
              <a:t>年磷化工产值与磷矿石产量</a:t>
            </a:r>
            <a:endParaRPr lang="zh-CN" altLang="en-US"/>
          </a:p>
        </c:rich>
      </c:tx>
      <c:layout/>
      <c:overlay val="0"/>
      <c:spPr>
        <a:noFill/>
        <a:ln>
          <a:noFill/>
        </a:ln>
        <a:effectLst/>
      </c:spPr>
    </c:title>
    <c:autoTitleDeleted val="0"/>
    <c:plotArea>
      <c:layout/>
      <c:barChart>
        <c:barDir val="col"/>
        <c:grouping val="clustered"/>
        <c:varyColors val="0"/>
        <c:ser>
          <c:idx val="1"/>
          <c:order val="1"/>
          <c:tx>
            <c:strRef>
              <c:f>Sheet1!$B$5</c:f>
              <c:strCache>
                <c:ptCount val="1"/>
                <c:pt idx="0">
                  <c:v>磷矿石</c:v>
                </c:pt>
              </c:strCache>
            </c:strRef>
          </c:tx>
          <c:spPr>
            <a:solidFill>
              <a:schemeClr val="accent2"/>
            </a:solidFill>
            <a:ln>
              <a:noFill/>
            </a:ln>
            <a:effectLst/>
          </c:spPr>
          <c:invertIfNegative val="0"/>
          <c:dLbls>
            <c:delete val="1"/>
          </c:dLbls>
          <c:cat>
            <c:numRef>
              <c:f>Sheet1!$C$3:$H$3</c:f>
              <c:numCache>
                <c:formatCode>General</c:formatCode>
                <c:ptCount val="6"/>
                <c:pt idx="0">
                  <c:v>2020</c:v>
                </c:pt>
                <c:pt idx="1">
                  <c:v>2021</c:v>
                </c:pt>
                <c:pt idx="2">
                  <c:v>2022</c:v>
                </c:pt>
                <c:pt idx="3">
                  <c:v>2023</c:v>
                </c:pt>
                <c:pt idx="4">
                  <c:v>2024</c:v>
                </c:pt>
                <c:pt idx="5">
                  <c:v>2025</c:v>
                </c:pt>
              </c:numCache>
            </c:numRef>
          </c:cat>
          <c:val>
            <c:numRef>
              <c:f>Sheet1!$C$5:$H$5</c:f>
              <c:numCache>
                <c:formatCode>General</c:formatCode>
                <c:ptCount val="6"/>
                <c:pt idx="0">
                  <c:v>8920</c:v>
                </c:pt>
                <c:pt idx="1">
                  <c:v>10272</c:v>
                </c:pt>
                <c:pt idx="2">
                  <c:v>10811</c:v>
                </c:pt>
                <c:pt idx="3">
                  <c:v>10555</c:v>
                </c:pt>
                <c:pt idx="4">
                  <c:v>11680</c:v>
                </c:pt>
                <c:pt idx="5">
                  <c:v>12100</c:v>
                </c:pt>
              </c:numCache>
            </c:numRef>
          </c:val>
        </c:ser>
        <c:dLbls>
          <c:showLegendKey val="0"/>
          <c:showVal val="0"/>
          <c:showCatName val="0"/>
          <c:showSerName val="0"/>
          <c:showPercent val="0"/>
          <c:showBubbleSize val="0"/>
        </c:dLbls>
        <c:gapWidth val="219"/>
        <c:axId val="2022084719"/>
        <c:axId val="2022082799"/>
      </c:barChart>
      <c:lineChart>
        <c:grouping val="standard"/>
        <c:varyColors val="0"/>
        <c:ser>
          <c:idx val="0"/>
          <c:order val="0"/>
          <c:tx>
            <c:strRef>
              <c:f>Sheet1!$B$4</c:f>
              <c:strCache>
                <c:ptCount val="1"/>
                <c:pt idx="0">
                  <c:v>磷化工产值</c:v>
                </c:pt>
              </c:strCache>
            </c:strRef>
          </c:tx>
          <c:spPr>
            <a:ln w="28575" cap="rnd">
              <a:solidFill>
                <a:schemeClr val="accent1"/>
              </a:solidFill>
              <a:round/>
            </a:ln>
            <a:effectLst/>
          </c:spPr>
          <c:marker>
            <c:symbol val="none"/>
          </c:marker>
          <c:dLbls>
            <c:delete val="1"/>
          </c:dLbls>
          <c:cat>
            <c:numRef>
              <c:f>Sheet1!$C$3:$H$3</c:f>
              <c:numCache>
                <c:formatCode>General</c:formatCode>
                <c:ptCount val="6"/>
                <c:pt idx="0">
                  <c:v>2020</c:v>
                </c:pt>
                <c:pt idx="1">
                  <c:v>2021</c:v>
                </c:pt>
                <c:pt idx="2">
                  <c:v>2022</c:v>
                </c:pt>
                <c:pt idx="3">
                  <c:v>2023</c:v>
                </c:pt>
                <c:pt idx="4">
                  <c:v>2024</c:v>
                </c:pt>
                <c:pt idx="5">
                  <c:v>2025</c:v>
                </c:pt>
              </c:numCache>
            </c:numRef>
          </c:cat>
          <c:val>
            <c:numRef>
              <c:f>Sheet1!$C$4:$H$4</c:f>
              <c:numCache>
                <c:formatCode>General</c:formatCode>
                <c:ptCount val="6"/>
                <c:pt idx="0">
                  <c:v>1950</c:v>
                </c:pt>
                <c:pt idx="1">
                  <c:v>2015</c:v>
                </c:pt>
                <c:pt idx="2">
                  <c:v>2095</c:v>
                </c:pt>
                <c:pt idx="3">
                  <c:v>2280</c:v>
                </c:pt>
                <c:pt idx="4">
                  <c:v>2400</c:v>
                </c:pt>
                <c:pt idx="5">
                  <c:v>2650</c:v>
                </c:pt>
              </c:numCache>
            </c:numRef>
          </c:val>
          <c:smooth val="0"/>
        </c:ser>
        <c:dLbls>
          <c:showLegendKey val="0"/>
          <c:showVal val="0"/>
          <c:showCatName val="0"/>
          <c:showSerName val="0"/>
          <c:showPercent val="0"/>
          <c:showBubbleSize val="0"/>
        </c:dLbls>
        <c:marker val="0"/>
        <c:smooth val="0"/>
        <c:axId val="2022074639"/>
        <c:axId val="2022090959"/>
      </c:lineChart>
      <c:catAx>
        <c:axId val="2022084719"/>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2022082799"/>
        <c:crosses val="autoZero"/>
        <c:auto val="1"/>
        <c:lblAlgn val="ctr"/>
        <c:lblOffset val="100"/>
        <c:noMultiLvlLbl val="0"/>
      </c:catAx>
      <c:valAx>
        <c:axId val="2022082799"/>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2022084719"/>
        <c:crosses val="autoZero"/>
        <c:crossBetween val="between"/>
      </c:valAx>
      <c:catAx>
        <c:axId val="2022074639"/>
        <c:scaling>
          <c:orientation val="minMax"/>
        </c:scaling>
        <c:delete val="1"/>
        <c:axPos val="b"/>
        <c:numFmt formatCode="General" sourceLinked="1"/>
        <c:majorTickMark val="out"/>
        <c:minorTickMark val="none"/>
        <c:tickLblPos val="nextTo"/>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2022090959"/>
        <c:crosses val="autoZero"/>
        <c:auto val="1"/>
        <c:lblAlgn val="ctr"/>
        <c:lblOffset val="100"/>
        <c:noMultiLvlLbl val="0"/>
      </c:catAx>
      <c:valAx>
        <c:axId val="2022090959"/>
        <c:scaling>
          <c:orientation val="minMax"/>
        </c:scaling>
        <c:delete val="0"/>
        <c:axPos val="r"/>
        <c:numFmt formatCode="General" sourceLinked="1"/>
        <c:majorTickMark val="out"/>
        <c:minorTickMark val="none"/>
        <c:tickLblPos val="nextTo"/>
        <c:spPr>
          <a:noFill/>
          <a:ln>
            <a:noFill/>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2022074639"/>
        <c:crosses val="max"/>
        <c:crossBetween val="between"/>
      </c:valAx>
      <c:spPr>
        <a:noFill/>
        <a:ln>
          <a:noFill/>
        </a:ln>
        <a:effectLst/>
      </c:spPr>
    </c:plotArea>
    <c:legend>
      <c:legendPos val="b"/>
      <c:layout/>
      <c:overlay val="0"/>
      <c:spPr>
        <a:noFill/>
        <a:ln>
          <a:noFill/>
        </a:ln>
        <a:effectLst/>
      </c:spPr>
      <c:txPr>
        <a:bodyPr rot="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6f1e2f39-8545-40de-b410-fb1f9473bcd3}"/>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3</Pages>
  <Words>339</Words>
  <Characters>352</Characters>
  <Lines>35</Lines>
  <Paragraphs>9</Paragraphs>
  <TotalTime>4</TotalTime>
  <ScaleCrop>false</ScaleCrop>
  <LinksUpToDate>false</LinksUpToDate>
  <CharactersWithSpaces>358</CharactersWithSpaces>
  <Application>WPS Office_12.1.0.26375_F1E327BC-269C-435d-A152-05C5408002CA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2022-09-27T07:43:00Z</dcterms:created>
  <dc:creator>Liao KangCheng</dc:creator>
  <cp:lastModifiedBy>白海丹</cp:lastModifiedBy>
  <dcterms:modified xsi:type="dcterms:W3CDTF">2026-06-09T03:45:26Z</dcterms:modified>
  <cp:revision>86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2052-12.1.0.26375</vt:lpwstr>
  </property>
  <property fmtid="{D5CDD505-2E9C-101B-9397-08002B2CF9AE}" pid="3" name="ICV">
    <vt:lpwstr>012170A0420347A89154D3512890171D_12</vt:lpwstr>
  </property>
  <property fmtid="{D5CDD505-2E9C-101B-9397-08002B2CF9AE}" pid="4" name="KSOTemplateDocerSaveRecord">
    <vt:lpwstr>eyJoZGlkIjoiYjVlOTE0MGRkN2E0MWU0MDEyNjJkNTdlYmU3ZGQ5YzUiLCJ1c2VySWQiOiI0NDQ3MDkxMjgifQ==</vt:lpwstr>
  </property>
</Properties>
</file>