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olors1.xml" ContentType="application/vnd.ms-office.chartcolorstyle+xml"/>
  <Override PartName="/word/charts/colors10.xml" ContentType="application/vnd.ms-office.chartcolorstyle+xml"/>
  <Override PartName="/word/charts/colors11.xml" ContentType="application/vnd.ms-office.chartcolorstyle+xml"/>
  <Override PartName="/word/charts/colors12.xml" ContentType="application/vnd.ms-office.chartcolorstyle+xml"/>
  <Override PartName="/word/charts/colors13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colors7.xml" ContentType="application/vnd.ms-office.chartcolorstyle+xml"/>
  <Override PartName="/word/charts/colors8.xml" ContentType="application/vnd.ms-office.chartcolorstyle+xml"/>
  <Override PartName="/word/charts/colors9.xml" ContentType="application/vnd.ms-office.chartcolorstyle+xml"/>
  <Override PartName="/word/charts/style1.xml" ContentType="application/vnd.ms-office.chartstyle+xml"/>
  <Override PartName="/word/charts/style10.xml" ContentType="application/vnd.ms-office.chartstyle+xml"/>
  <Override PartName="/word/charts/style11.xml" ContentType="application/vnd.ms-office.chartstyle+xml"/>
  <Override PartName="/word/charts/style12.xml" ContentType="application/vnd.ms-office.chartstyle+xml"/>
  <Override PartName="/word/charts/style13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charts/style7.xml" ContentType="application/vnd.ms-office.chartstyle+xml"/>
  <Override PartName="/word/charts/style8.xml" ContentType="application/vnd.ms-office.chartstyle+xml"/>
  <Override PartName="/word/charts/style9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4.xml" ContentType="application/vnd.openxmlformats-officedocument.themeOverride+xml"/>
  <Override PartName="/word/theme/themeOverride5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0140D5F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bookmarkStart w:id="0" w:name="_Toc14615"/>
      <w:bookmarkStart w:id="1" w:name="_Toc14183"/>
      <w:bookmarkStart w:id="2" w:name="_Toc10478"/>
      <w:bookmarkStart w:id="3" w:name="_Toc27259"/>
      <w:r>
        <w:rPr>
          <w:rFonts w:hint="eastAsia" w:ascii="隶书" w:hAnsi="隶书" w:eastAsia="隶书" w:cs="隶书"/>
          <w:lang w:val="en-US" w:eastAsia="zh-CN"/>
        </w:rPr>
        <w:t>2025中国钛白粉产业发展情况</w:t>
      </w:r>
      <w:bookmarkEnd w:id="0"/>
      <w:bookmarkEnd w:id="1"/>
      <w:bookmarkEnd w:id="2"/>
    </w:p>
    <w:p w14:paraId="148629A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国家钒钛产业联盟/四川省钒钛钢铁产业协会</w:t>
      </w:r>
    </w:p>
    <w:p w14:paraId="24B96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both"/>
        <w:textAlignment w:val="auto"/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</w:pPr>
    </w:p>
    <w:p w14:paraId="16AD9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>2025年，我国依然是全球最大的钛白粉生产国和消费国，钛白粉产能629万吨，约占全球60.25%；产量480.73万吨，约占全球63.72%；涂料、塑料和造纸工业仍是钛白粉产品的主要消费领域，占比约92%。</w:t>
      </w:r>
    </w:p>
    <w:p w14:paraId="094D9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一、产能情况</w:t>
      </w:r>
      <w:bookmarkEnd w:id="3"/>
    </w:p>
    <w:p w14:paraId="202F3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>中国钛白粉工业具备生产能力的企业或企业集团共49家，运行总产能629万吨/年，同比上年增长5.18%，增加产能31万吨/年。其中，新增氯化法钛白粉14万吨/年，新增硫酸法钛白粉17万吨/年。</w:t>
      </w:r>
    </w:p>
    <w:p w14:paraId="03F09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（一）2025年钛白粉工业产能分布情况</w:t>
      </w:r>
    </w:p>
    <w:p w14:paraId="0D61A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1.按企业规模大小划分</w:t>
      </w:r>
    </w:p>
    <w:p w14:paraId="1A356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>2025年末，我国钛白粉产能达到20万吨/年及其以上企业或企业集团共7家，合计产能330万吨，占总产能的52.46%。产能10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>20万吨/年企业或企业集团17家，合计产能212万吨，占比33.70%。产能10万吨/年以下25家，合计产能87万吨，占比13.84%。我国20万吨/年以上钛白粉企业产能情况见图1。</w:t>
      </w:r>
    </w:p>
    <w:p w14:paraId="73021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4869180" cy="2401570"/>
            <wp:effectExtent l="0" t="0" r="7620" b="17780"/>
            <wp:docPr id="40" name="图表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28A70A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  我国20万吨/年以上钛白粉企业产能情况</w:t>
      </w:r>
    </w:p>
    <w:p w14:paraId="53A08B0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2.按生产工艺划分</w:t>
      </w:r>
    </w:p>
    <w:p w14:paraId="2E365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硫酸法钛白粉493万吨/年，占比78.38%；氯化法钛白粉116万吨/年，占比18.44%；盐酸法钛白粉20万吨，占比3.18%。</w:t>
      </w:r>
    </w:p>
    <w:p w14:paraId="59A1370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3.按区域划分</w:t>
      </w:r>
    </w:p>
    <w:p w14:paraId="6EED6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华东和西南两大区域仍是最主要的钛白粉产地，企业多，产能大，两地合计产能占比51.44%。各大区域钛白粉产能分布情况见图2。</w:t>
      </w:r>
    </w:p>
    <w:p w14:paraId="467E9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snapToGrid/>
          <w:sz w:val="21"/>
          <w:szCs w:val="21"/>
          <w:shd w:val="clear" w:color="auto" w:fill="FFFFFF"/>
          <w:lang w:val="en-US" w:eastAsia="zh-CN"/>
        </w:rPr>
      </w:pPr>
      <w:bookmarkStart w:id="4" w:name="_Toc21600"/>
      <w:r>
        <w:rPr>
          <w:rFonts w:hint="eastAsia" w:ascii="宋体" w:hAnsi="宋体" w:eastAsia="宋体" w:cs="宋体"/>
          <w:snapToGrid/>
          <w:sz w:val="21"/>
          <w:szCs w:val="21"/>
          <w:shd w:val="clear" w:color="auto" w:fill="FFFFFF"/>
          <w:lang w:val="en-US" w:eastAsia="zh-CN"/>
        </w:rPr>
        <w:drawing>
          <wp:inline distT="0" distB="0" distL="114300" distR="114300">
            <wp:extent cx="4619625" cy="2175510"/>
            <wp:effectExtent l="0" t="0" r="9525" b="15240"/>
            <wp:docPr id="41" name="图表 12" descr="7b0a202020202263686172745265734964223a20223230343735393537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D780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0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kern w:val="2"/>
          <w:sz w:val="21"/>
          <w:szCs w:val="21"/>
          <w:shd w:val="clear" w:color="auto" w:fill="FFFFFF"/>
          <w:lang w:val="en-US" w:eastAsia="zh-CN" w:bidi="ar-SA"/>
        </w:rPr>
        <w:t>图2  2025年我国钛白粉产能分布情况</w:t>
      </w:r>
    </w:p>
    <w:bookmarkEnd w:id="4"/>
    <w:p w14:paraId="148FD20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5" w:name="_Toc2248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（二）2025年末钛白粉工业项目建设情况</w:t>
      </w:r>
      <w:bookmarkEnd w:id="5"/>
    </w:p>
    <w:p w14:paraId="636EE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1.到2025年末，正在开展或已经完成前期（能评、安评和安评）工作钛白粉新建项目6个，规划产能140万吨/年；其中根据前期工作计划在2026年内具备开工条件项目3个，合计产能40万吨/年。</w:t>
      </w:r>
    </w:p>
    <w:p w14:paraId="1F988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2.已经开工建设项目6个，合计产能76万吨/年。预计在2026年内建成投产项目3个，合计产能38万吨/年；其余3个项目预计将在2027年建成投产。</w:t>
      </w:r>
    </w:p>
    <w:p w14:paraId="487AB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3.目前处于停工待续建项目2个，合计产能8万吨/年。</w:t>
      </w:r>
    </w:p>
    <w:p w14:paraId="02C07B6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6" w:name="_Toc1197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二、生产情况</w:t>
      </w:r>
      <w:bookmarkEnd w:id="6"/>
    </w:p>
    <w:p w14:paraId="40324F8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7" w:name="_Toc2251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（一）2025年钛白粉工业生产情况</w:t>
      </w:r>
      <w:bookmarkEnd w:id="7"/>
    </w:p>
    <w:p w14:paraId="34F12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中国45家钛白粉企业或企业集团（不含停产4家）共生产钛白480.73万吨（扣除粗品），同比2024年减少产量2.27万吨，下降0.89%，近十年来钛白粉产量第一次出现下降；2025年钛白粉工业产能利用率76.43%，是近九年来最低水平。</w:t>
      </w:r>
    </w:p>
    <w:p w14:paraId="4477D0A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1.按产品品种分类</w:t>
      </w:r>
    </w:p>
    <w:p w14:paraId="59043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2025年生产金红石型钛白粉414.83万吨，占比86.29%；生产锐钛型钛白粉52.20万吨，占比10.86%；生产非颜料及其它类型钛白粉13.70万吨，占比2.85%。</w:t>
      </w:r>
    </w:p>
    <w:p w14:paraId="2BEF16E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2.按不同生成方法分类</w:t>
      </w:r>
    </w:p>
    <w:p w14:paraId="4AC47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，生产硫酸法钛白粉404.26万吨，同比上年下降3.45%；生产氯化法钛白粉72.47万吨，同比上年增长9.31%；生产盐酸萃取法钛白粉4万吨，市场首次出现盐酸萃取法钛白粉产品。2025年三种类型钛白粉产量占比情况见图3。</w:t>
      </w:r>
    </w:p>
    <w:p w14:paraId="6554D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snapToGrid w:val="0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drawing>
          <wp:inline distT="0" distB="0" distL="114300" distR="114300">
            <wp:extent cx="4559935" cy="2428240"/>
            <wp:effectExtent l="0" t="0" r="12065" b="10160"/>
            <wp:docPr id="44" name="图表 1" descr="7b0a202020202263686172745265734964223a20223230343735393537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2487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0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kern w:val="2"/>
          <w:sz w:val="21"/>
          <w:szCs w:val="21"/>
          <w:shd w:val="clear" w:color="auto" w:fill="FFFFFF"/>
          <w:lang w:val="en-US" w:eastAsia="zh-CN" w:bidi="ar-SA"/>
        </w:rPr>
        <w:t>图3  2025年三种类型钛白粉占比情况</w:t>
      </w:r>
    </w:p>
    <w:p w14:paraId="0CD326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3.按不同生产区域分（部分集团化企业按照总部所在地产量统计）</w:t>
      </w:r>
    </w:p>
    <w:p w14:paraId="5A6B8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从各大生产区域看，华东和西南仍然占据国内产量60.2%，保持着国内钛白粉主产地的地位；但与2024年相比，华中的产量有所增加，华南区域的产量占比有所下降。2025年各大区域产量分布情况见图4。</w:t>
      </w:r>
    </w:p>
    <w:p w14:paraId="07E831B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firstLine="482" w:firstLineChars="0"/>
        <w:jc w:val="both"/>
        <w:textAlignment w:val="auto"/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drawing>
          <wp:inline distT="0" distB="0" distL="114300" distR="114300">
            <wp:extent cx="4524375" cy="2641600"/>
            <wp:effectExtent l="0" t="0" r="9525" b="6350"/>
            <wp:docPr id="45" name="图表 3" descr="7b0a202020202263686172745265734964223a20223230343735393537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D72B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图4  2025年我国钛白粉工业各大区产量分布情况</w:t>
      </w:r>
    </w:p>
    <w:p w14:paraId="465E8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从各大经济区域产能利用率水平看，2025年产能利用率水平最高的是华中、西南和东北三个区域，主要是大企业的正常生产拉高了区域的利用率水平；华南低于往年水平是大部分中、小企业的开工率都比较低，处于时断时续的半停产状态。各经济区域产能利用率水平分析见图5。</w:t>
      </w:r>
    </w:p>
    <w:p w14:paraId="14A89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 w:themeColor="text1"/>
          <w:spacing w:val="6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napToGrid w:val="0"/>
          <w:color w:val="000000" w:themeColor="text1"/>
          <w:spacing w:val="6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704715" cy="2400935"/>
            <wp:effectExtent l="0" t="0" r="635" b="18415"/>
            <wp:docPr id="46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6747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图5  2025年各经济区域钛白粉生产产能利用率情况</w:t>
      </w:r>
    </w:p>
    <w:p w14:paraId="28CB36E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4.按月度、季度分析</w:t>
      </w:r>
    </w:p>
    <w:p w14:paraId="0D844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钛白粉生产月均产量120.06万吨，1—4月和9—12月份的月产量基本保持平稳，但是5—8月份的月产量出现较大波动，其主要原因是钛白粉二季度市场快速下行，企业出货困难，部分企业集中检修导致产量减少。2025年我国钛白粉工业月度生产情况见图6。</w:t>
      </w:r>
    </w:p>
    <w:p w14:paraId="5F8E5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/>
        <w:jc w:val="center"/>
        <w:textAlignment w:val="auto"/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drawing>
          <wp:inline distT="0" distB="0" distL="114300" distR="114300">
            <wp:extent cx="4722495" cy="2856865"/>
            <wp:effectExtent l="0" t="0" r="1905" b="635"/>
            <wp:docPr id="47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940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图6  2025年我国钛白粉工业月度生产情况</w:t>
      </w:r>
    </w:p>
    <w:p w14:paraId="1D904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从季度生产情况看，一季度和四季度的产量水平较高，二、三季度的产量都在117万吨以下，季度差距在5万吨以上，其根源还是市场的不景气和持续下行导致部分企业减产。</w:t>
      </w:r>
    </w:p>
    <w:p w14:paraId="54035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bookmarkStart w:id="8" w:name="_Toc7290"/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（二）“十四五”我国钛白粉工业生产情况</w:t>
      </w:r>
      <w:bookmarkEnd w:id="8"/>
    </w:p>
    <w:p w14:paraId="0186B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“十四五”是我国钛白粉产量增长较快时期，2025年较2020年增加钛白粉产量129.53万吨，五年年均增长6.48%，其中2024年同比上年增长最快，达到15.38%；但是，受下游需求、市场波动等多种因素影响，2025年同比却出现了负增长。“十四五”我国钛白粉工业生产情况见图7。</w:t>
      </w:r>
    </w:p>
    <w:p w14:paraId="7142E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4557395" cy="2750185"/>
            <wp:effectExtent l="0" t="0" r="14605" b="12065"/>
            <wp:docPr id="48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87ED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图7 “十四五”我国钛白粉工业生产情况</w:t>
      </w:r>
    </w:p>
    <w:p w14:paraId="1BB1D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“十四五”期间，我国氯化法钛白粉得到较好发展，氯化钛白粉年度总量增长127.18%，年均增长达到17.83%；而且，我国已基本自主掌握氯化法钛白粉生产技术，产品质量明显提高，综合利用水平显著提升。“十四五”我国氯化法钛白粉生产情况见图8。</w:t>
      </w:r>
    </w:p>
    <w:p w14:paraId="1E051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4479925" cy="2466975"/>
            <wp:effectExtent l="0" t="0" r="15875" b="9525"/>
            <wp:docPr id="49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B6DA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bookmarkStart w:id="9" w:name="_Toc28731"/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图8  “十四五”我国氯化法钛白粉生产情况</w:t>
      </w:r>
    </w:p>
    <w:p w14:paraId="2B4FC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三、市场情况</w:t>
      </w:r>
      <w:bookmarkEnd w:id="9"/>
    </w:p>
    <w:p w14:paraId="2178F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中国钛白粉市场继续呈弱势下跌行情，全年共经历“涨跌涨”三个阶段，年末价格较年初下跌明显，其中金红石型钛白粉价格较年初有1000元/吨左右下滑，跌幅达到7.42%，锐钛型钛白粉价格较年初有700元/吨左右下滑，跌幅达到5.47%，截至年末，中国金红石型钛白粉含税出厂价格在12600～13600元/吨，锐钛型钛白粉含税出厂价格在11800～12400元/吨，全年市场价格高点出现在3月份，月均价为14750，相比2024年3月均价16950元/吨，同比跌幅13%，今年市场价格低点目前出现在11月份，月均价为12720元/吨，相比2024年低点月均价14776元/吨，同比跌幅14%；2025年钛白粉市场跌幅放大，价格已跌至近五年低点。</w:t>
      </w:r>
    </w:p>
    <w:p w14:paraId="7AA1A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第一阶段（上涨阶段）：1—3月钛白粉市场持续上涨，市场连迎三轮涨价潮，价格累计上涨600元/吨左右，涨幅4.24%；进入2025年1月初，市场延续2024年末下跌行情，1月底价格止跌回升，2—3月市场延续上涨走势。影响市场价格的因素主要有：一是一月假期临近，市场备货需求增加工厂去库；二是春节钛白粉企业例行年检，1—2月产量连续下降；三是市场集体宣涨，接单出货增加；四是原料跟随钛白粉涨势，钛矿累计涨幅80～100元/吨左右，硫酸价格累计涨幅在200元/吨左右，成本增加较高；五是一季度钛白粉出口市场较好，印度4月执行关税，钛白粉出口多提前转移。市场连涨三轮，但下游接受度减弱，故第三次上涨情况不乐观，加之氯化法钛白粉价格的大幅下调，硫酸法钛白粉与氯化法钛白粉同价竞争时代开启。</w:t>
      </w:r>
    </w:p>
    <w:p w14:paraId="4E968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第二阶段（下跌阶段）：4—7月钛白粉市场连续下滑，价格累计下跌2050元/吨，跌幅13.90%。市场进入淡季，外贸市场遇冷，钛白粉库存开始呈上升趋势。4月中旬价格开始出现下滑，生产压力加大，市场开工也开始出现下滑。5月初龙佰集团钛白粉挂牌价格下调500元/吨，但因原材料反弹影响，钛白粉企业生产亏损加剧，市场有近20家企业相继停产减产，产量大幅减少。6月初龙佰集团因经销商价格较高，钛白粉挂牌价格下调1400元/吨，市场跟调幅度在300～500元/吨，市场中不同牌号之间价差普遍缩小，而原料成本难降，钛白粉企业也呈持续亏损状态。7月价格继续下调，月初龙佰集团经销商价格有200～500元/吨幅度下调，市场仍低迷难好转，加之外贸关税接踵而至，社会库存也上升至历史高点，7月末再度执行完成任务量多返利的优惠政策。8月初龙头企业再次下调价格，在高库存压力下，价格跌到年内最低点，且产量同期持续收缩。</w:t>
      </w:r>
    </w:p>
    <w:p w14:paraId="1B52E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第三阶段（反弹阶段）：9—10月钛白粉价格低位回升，价格累计上调200元/吨，涨幅1.57%。“金九”旺季前期备货，市场有人为抄底，在8月下旬钛白粉市场迎来涨价潮，因生产供应减少，社会库存压力减小。9月钛白粉市场再次宣涨，9月30日龙佰集团发函自10月10日起开始上调价格，市场价格陆续有300元/吨上调，原料硫酸价格下滑，钛白粉生产企业亏损情况略微缓解，而市场开工回升，加之原料硫酸价格强势上涨，今年酸价再次上涨至近四年高点。但因需求提前透支，10月涨价并未有效落地，内需出货走弱，11月中下旬开始部分企业执行优惠政策，市场让利出货，跌幅有500元/吨，价格跌至年内最低点，硫酸价格上涨不止，成本增长较快，而因钛白粉价格筑底，市场有所备货，11月底钛白粉迎来涨价潮，市场部分价格有300～500元/吨幅度上调，加之外贸需求回暖，12月价格再上涨，工厂库存不高，钛白价格执行坚挺。</w:t>
      </w:r>
    </w:p>
    <w:p w14:paraId="00CCE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中国钛白粉市场下行明显，跌幅相比2023、2024年均有所扩大，钛白粉生产企业经营普遍亏损，市场呈现低迷态势。2025年受全球宏观经济影响，产能过剩格局及新增产能待投产落地，2026年钛白粉市场仍面临严峻挑战，市场也在寻找新的增长点。</w:t>
      </w:r>
    </w:p>
    <w:p w14:paraId="33F91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0" w:name="_Toc1320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四、进出口情况</w:t>
      </w:r>
      <w:bookmarkEnd w:id="10"/>
    </w:p>
    <w:p w14:paraId="34688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1" w:name="_Toc1160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（一）2025年钛白粉进口情况</w:t>
      </w:r>
      <w:bookmarkEnd w:id="11"/>
    </w:p>
    <w:p w14:paraId="3E5D1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2025年，我国进口钛白粉总量74528.24吨，较上年下降19.81%，进口均价3252.12美元/吨，其中氯化法钛白粉进口44369.62吨，占比59.53%，硫酸法钛白粉进口30158.62吨，占比40.47%。2025年各月份钛白粉进口情况见图9。</w:t>
      </w:r>
    </w:p>
    <w:p w14:paraId="57207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420" w:firstLineChars="200"/>
        <w:textAlignment w:val="auto"/>
        <w:rPr>
          <w:rFonts w:hint="eastAsia" w:ascii="宋体" w:hAnsi="宋体" w:eastAsia="宋体" w:cs="宋体"/>
          <w:snapToGrid w:val="0"/>
          <w:color w:val="000000" w:themeColor="text1"/>
          <w:spacing w:val="6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4576445" cy="2341880"/>
            <wp:effectExtent l="4445" t="5080" r="10160" b="15240"/>
            <wp:docPr id="5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7D68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图9  2025年钛白粉月度进口情况</w:t>
      </w:r>
    </w:p>
    <w:p w14:paraId="64911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2025年，钛白粉进口来源国共24个国家，其中主要是墨西哥、澳大利亚等七个国家，前七个国家总进口量72849.57吨，均价3214.92 美元/吨，占比97.75%。尤其是墨西哥和澳大利亚两国的进口量，合计占全年进口总量的54.26%。2025年我国钛白粉进口来源国分布情况见图10。</w:t>
      </w:r>
    </w:p>
    <w:p w14:paraId="2C8FC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4552950" cy="2118995"/>
            <wp:effectExtent l="0" t="0" r="0" b="14605"/>
            <wp:docPr id="53" name="图表 4" descr="7b0a202020202263686172745265734964223a20223230343735393537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715C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图10  2025年钛白粉进口来源国分布情况</w:t>
      </w:r>
    </w:p>
    <w:p w14:paraId="4DE19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2" w:name="_Toc2753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（二）2025年钛白粉出口情况</w:t>
      </w:r>
      <w:bookmarkEnd w:id="12"/>
    </w:p>
    <w:p w14:paraId="67E37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2025年，我国共出口钛白粉181.69万吨，较2024年下降4.60%，减少出口8.48万吨；出口均价1969.55 美元/吨。其中，氯化法钛白粉出口36.65万吨，占比20.17%，硫酸法钛白粉出口145.05万吨，占比79.83%。2025年月度平均出口量15.14万吨，2025年钛白粉月度出口情况见图11。</w:t>
      </w:r>
    </w:p>
    <w:p w14:paraId="488B8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114300" distR="114300">
            <wp:extent cx="4498340" cy="2331085"/>
            <wp:effectExtent l="4445" t="4445" r="12065" b="7620"/>
            <wp:docPr id="54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B3BE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图11  2025年钛白粉月度出口情况</w:t>
      </w:r>
    </w:p>
    <w:p w14:paraId="5F4A0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在2025年出口目的地国家和地区中，印度、土耳其和越南等前11个主要国家的出口量达到5万吨以上，合计达到104.21万吨，占出口总量57.35%，11个国家出口量分布情况见图12。</w:t>
      </w:r>
    </w:p>
    <w:p w14:paraId="24A03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4826000" cy="2853690"/>
            <wp:effectExtent l="0" t="0" r="12700" b="3810"/>
            <wp:docPr id="56" name="图表 1" descr="7b0a202020202263686172745265734964223a20223230343735393537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8696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图12  2025年钛白粉主要出口国家分布情况</w:t>
      </w:r>
    </w:p>
    <w:p w14:paraId="3A293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3" w:name="_Toc2645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五、消费情况</w:t>
      </w:r>
      <w:bookmarkEnd w:id="13"/>
    </w:p>
    <w:p w14:paraId="75D79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4" w:name="_Toc926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（一）2025年钛白粉表观消费情况</w:t>
      </w:r>
      <w:bookmarkEnd w:id="14"/>
    </w:p>
    <w:p w14:paraId="2EA62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，我国钛白粉表观消费量306.49万吨，同比上年度增长0.78%，消费增长乏力主要是下游需求增长不足，难以拉动消费快速增长；同时，硫酸、钛精矿价格高企甚至快速上涨，进一步加大了钛白粉生产企业的成本压力，生产经营普遍困难，也进一步导致供应难以增长。</w:t>
      </w:r>
    </w:p>
    <w:p w14:paraId="73EFE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5" w:name="_Toc25720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（二）“十四五”我国钛白粉表观消费情况</w:t>
      </w:r>
      <w:bookmarkEnd w:id="15"/>
    </w:p>
    <w:p w14:paraId="70596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“十四五”期间，我国钛白粉消费出现较快增长，2025年较2020年增加表观消费量59.89万吨，“十四五”期间同比年均增长4.44%，尤其是2021年和2024年表观消费量同比上年度增长分别达到8.28%和4.96%。拉高了整个“十四五”期间的年平均增长水平；但是，也反向加大了2022年和2025年的消费增长压力。“十四五”期间我国钛白粉表观消费情况见图13。</w:t>
      </w:r>
    </w:p>
    <w:p w14:paraId="4828DD3C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97"/>
        <w:textAlignment w:val="auto"/>
        <w:outlineLvl w:val="9"/>
        <w:rPr>
          <w:rFonts w:hint="eastAsia" w:ascii="宋体" w:hAnsi="宋体" w:eastAsia="宋体" w:cs="宋体"/>
          <w:snapToGrid/>
          <w:sz w:val="21"/>
          <w:szCs w:val="21"/>
          <w:shd w:val="clear" w:color="auto" w:fill="FFFFFF"/>
          <w:lang w:val="en-US" w:eastAsia="zh-CN"/>
        </w:rPr>
      </w:pPr>
      <w:bookmarkStart w:id="16" w:name="_Toc9829"/>
      <w:r>
        <w:rPr>
          <w:rFonts w:hint="eastAsia" w:ascii="宋体" w:hAnsi="宋体" w:eastAsia="宋体" w:cs="宋体"/>
          <w:snapToGrid/>
          <w:sz w:val="21"/>
          <w:szCs w:val="21"/>
          <w:shd w:val="clear" w:color="auto" w:fill="FFFFFF"/>
          <w:lang w:val="en-US" w:eastAsia="zh-CN"/>
        </w:rPr>
        <w:drawing>
          <wp:inline distT="0" distB="0" distL="114300" distR="114300">
            <wp:extent cx="4671060" cy="2646045"/>
            <wp:effectExtent l="0" t="0" r="15240" b="1905"/>
            <wp:docPr id="58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6588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2"/>
          <w:sz w:val="21"/>
          <w:szCs w:val="21"/>
          <w:lang w:val="en-US" w:eastAsia="zh-CN" w:bidi="ar-SA"/>
        </w:rPr>
        <w:t>图13  “十四五”期间我国钛白粉表观消费情况</w:t>
      </w:r>
    </w:p>
    <w:bookmarkEnd w:id="16"/>
    <w:p w14:paraId="14412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7" w:name="_Toc71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六、</w:t>
      </w:r>
      <w:bookmarkStart w:id="18" w:name="_Toc8634"/>
      <w:bookmarkStart w:id="19" w:name="_Toc27123"/>
      <w:bookmarkStart w:id="20" w:name="_Toc17327"/>
      <w:bookmarkStart w:id="21" w:name="_Toc2602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存在的主要问题与对策建议</w:t>
      </w:r>
      <w:bookmarkEnd w:id="17"/>
      <w:bookmarkEnd w:id="18"/>
      <w:bookmarkEnd w:id="19"/>
      <w:bookmarkEnd w:id="20"/>
      <w:bookmarkEnd w:id="21"/>
    </w:p>
    <w:p w14:paraId="24069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回顾2025年，我国钛白粉工业总体平稳发展，但运行发展中也凸显出多重矛盾与困难，已经极大地制约着行业的健康发展，需要引起行业从业者和相关管理部门的高度重视。</w:t>
      </w:r>
      <w:bookmarkStart w:id="26" w:name="_GoBack"/>
      <w:bookmarkEnd w:id="26"/>
    </w:p>
    <w:p w14:paraId="374D2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2" w:name="_Toc8144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（一）产能扩张压力凸显</w:t>
      </w:r>
      <w:bookmarkEnd w:id="22"/>
    </w:p>
    <w:p w14:paraId="4C099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2025年我国钛白粉工业产能利用率仅76.43%，是最近九年来最低的一年。这一年中，相当一部分中小企业处于一种间歇性生产状态，即使如此，行业企业普遍经营艰难。其根本原因是行业产能增长过快，下游需求难以适应产能过快增长的需要，因此，2025年中行业多次出现生产装置“停产或检修待产”的状态。而且，按照目前行业投资情况，2026—2027年将会有110万吨产能具备投产条件，产能过快增长的压力还会进一步加剧。</w:t>
      </w:r>
    </w:p>
    <w:p w14:paraId="7AF55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为促进行业高质量发展，严控产能过快增长是钛白粉工业发展的当务之急，要严控硫酸法钛白粉增长，适度发展氯化法钛白粉，探索发展盐酸法钛白粉，要努力将钛白粉产能增长控制在合理的区间范围内，以避免行业长期处于“供过于求”的不平衡状态。</w:t>
      </w:r>
    </w:p>
    <w:p w14:paraId="76555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3" w:name="_Toc45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（二）绿色发展迫在眉睫</w:t>
      </w:r>
      <w:bookmarkEnd w:id="23"/>
    </w:p>
    <w:p w14:paraId="277FB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从国际层面看，2026年1月1日起，欧盟碳边境调节机制（CBAM）正式实施，我国钛白粉出口占比已经达到40%，减碳和加强碳排放管理已是企业的当务之急。从国家层面看，绿色发展是国家的基本战略，且钛白粉在2023年就被纳入《工业重点领域能效标杆水平和基准水平（2023年版）》（发改产业〔2023〕723号）进行管理，说明钛白粉行业能效水平离国家的要求还有较大差距；从地方管理层面看，还有部分省份将钛白粉纳入“两高”进行管理，说明钛白粉工业的环保与能效都还需要进一步加强管理，提升水平。</w:t>
      </w:r>
    </w:p>
    <w:p w14:paraId="10D7F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钛白粉生产企业首先必须高度重视节能减排工作，环保减排是企业的生存基础，节能降碳也同样是企业降本增效的基本途径，必须将绿色发展定位为企业的基本责任。其次企业要把超低排放作为企业环保工作的目标，还社会以良好环境；同时，要将资源的综合循环利用摆上生产经营的重要日程，固废的科学处置与利用将成为钛白粉企业未来生存的重要条件，必须加以重视。再者企业要把节能减碳纳入日常工作谋划，科学决策，层层落实责任，将降碳目标落到实处，也为企业的发展开辟一条绿色发展之路。</w:t>
      </w:r>
    </w:p>
    <w:p w14:paraId="68956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4" w:name="_Toc28618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（三）品质提升任重道远</w:t>
      </w:r>
      <w:bookmarkEnd w:id="24"/>
    </w:p>
    <w:p w14:paraId="59E37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我国已连续十多年成为全球第一大钛白粉生产国，但是，我们还不是钛白粉强国，行业竞争力整体还有差距，尤其是在品质方面，对高端钛白粉我们还需要进口，虽然进口量已经较最高峰时期减少约三分之二，但是，我国每年仍然需要进口10万吨左右的高端钛白粉产品，它相当于一家中型钛白粉企业的年产量，说明我们的产品质量还有差距，还不能完全满足下游行业的高端需求。同时，从国内消费来看，产品同质化严重，同类金红石钛白粉产品包膜生产方案大同小异，真正具备原创性新产品开发能力的企业不多，科研投入普遍不足，由此带来的行业竞争都只能在低端价格上“血拼”。</w:t>
      </w:r>
    </w:p>
    <w:p w14:paraId="029DB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我国钛白粉工业已经进入一个相对过剩的新阶段，企业必须高度重视科研投入，尤其要把产品提质提到日常工作中来，加大科技投入，提升操作水平，强化运行管理，尽快把产品品质提升到一个新水平；同时，企业要加大新产品开发力度，随着钛白粉应用领域与场景的拓展，企业要切实瞄准下游需求端差异化市场新机遇，适时开发新产品；再就是要与下游用户共同开展产品应用研究，无论是涂料、塑料、造纸、油墨等颜料领域，还是电子、化纤、脱硝等非颜料领域，不同用户的不同应用场景、生产方案都会对钛白粉提出不同的应用要求，企业必须下大力气去研究这种需求端的差异化问题，以寻找、固化客户需求，稳定产品市场，提升企业产品竞争力。</w:t>
      </w:r>
    </w:p>
    <w:p w14:paraId="48FEE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5" w:name="_Toc2796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（四）装备升级亟须发力</w:t>
      </w:r>
      <w:bookmarkEnd w:id="25"/>
    </w:p>
    <w:p w14:paraId="61E39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钛白粉生产具有资源能源密集、过程机理复杂、生产连续性强等流程性工业突出特点，装备是企业生产的基础，提升自动化水平是实现数智化转型的前提。但受历史等多种因素影响，我国钛白粉企业的生产装置的自动化程度都比较低，尤其是部分中小企业几乎都依靠手动操作，个别企业部分生产装置实现了DCS或PLC控制，与国家要求的数智化转型还有比较大的差距，其所带来的影响就是生产效率低、稳定性差、信息反馈不及时。</w:t>
      </w:r>
    </w:p>
    <w:p w14:paraId="7223C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  <w:t>钛白粉企业要在国家推动的“以产业数字化驱动全产业链业务变革，加快推动原材料工业高端化、绿色化、安全化、高效化发展”过程中，抓住时机，积极开展技术改造，适时升级企业装备水平，首先提升企业自动化水平，再逐步提升数字化、智能化水平。</w:t>
      </w:r>
    </w:p>
    <w:p w14:paraId="7066E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82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4E377CC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4B20AA"/>
    <w:rsid w:val="0AEE6ECB"/>
    <w:rsid w:val="0AFF2E86"/>
    <w:rsid w:val="0B534F80"/>
    <w:rsid w:val="0B664CB3"/>
    <w:rsid w:val="0C0E77A3"/>
    <w:rsid w:val="0C2B45A8"/>
    <w:rsid w:val="0C580AA0"/>
    <w:rsid w:val="0C8E44C1"/>
    <w:rsid w:val="0CDE6ACB"/>
    <w:rsid w:val="0CE82491"/>
    <w:rsid w:val="0CF56428"/>
    <w:rsid w:val="0D441024"/>
    <w:rsid w:val="0D525F6F"/>
    <w:rsid w:val="0D731909"/>
    <w:rsid w:val="0DA11FD2"/>
    <w:rsid w:val="0E2A646C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C13A3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2B4878"/>
    <w:rsid w:val="156C2EC6"/>
    <w:rsid w:val="15C56B00"/>
    <w:rsid w:val="16132CB9"/>
    <w:rsid w:val="16B20DAC"/>
    <w:rsid w:val="16B25250"/>
    <w:rsid w:val="16B8213B"/>
    <w:rsid w:val="16C46D32"/>
    <w:rsid w:val="16D2144F"/>
    <w:rsid w:val="17836BED"/>
    <w:rsid w:val="178C5AA1"/>
    <w:rsid w:val="17AD77C6"/>
    <w:rsid w:val="180933FC"/>
    <w:rsid w:val="185C6006"/>
    <w:rsid w:val="18616F2E"/>
    <w:rsid w:val="191221DB"/>
    <w:rsid w:val="19235F91"/>
    <w:rsid w:val="193E2DCB"/>
    <w:rsid w:val="19800B64"/>
    <w:rsid w:val="19836A30"/>
    <w:rsid w:val="199944A6"/>
    <w:rsid w:val="19C474E8"/>
    <w:rsid w:val="19FD4A34"/>
    <w:rsid w:val="1A533F79"/>
    <w:rsid w:val="1A5A1E87"/>
    <w:rsid w:val="1B2F179A"/>
    <w:rsid w:val="1B6F3710"/>
    <w:rsid w:val="1B8D410D"/>
    <w:rsid w:val="1C250273"/>
    <w:rsid w:val="1C7B60E4"/>
    <w:rsid w:val="1C9A2A0F"/>
    <w:rsid w:val="1D01483C"/>
    <w:rsid w:val="1D5D57EA"/>
    <w:rsid w:val="1E171E3D"/>
    <w:rsid w:val="1EB3600A"/>
    <w:rsid w:val="1EBA2EF4"/>
    <w:rsid w:val="1EC12041"/>
    <w:rsid w:val="1EC41FC5"/>
    <w:rsid w:val="1EFB52BB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BA5BB9"/>
    <w:rsid w:val="230D784D"/>
    <w:rsid w:val="237C2E6E"/>
    <w:rsid w:val="23B95F13"/>
    <w:rsid w:val="23E359CA"/>
    <w:rsid w:val="24174945"/>
    <w:rsid w:val="24212C83"/>
    <w:rsid w:val="244020ED"/>
    <w:rsid w:val="248B32E5"/>
    <w:rsid w:val="249146F7"/>
    <w:rsid w:val="24B17D3C"/>
    <w:rsid w:val="24EE1B49"/>
    <w:rsid w:val="25867FD4"/>
    <w:rsid w:val="259C77F7"/>
    <w:rsid w:val="262A3A04"/>
    <w:rsid w:val="269C7383"/>
    <w:rsid w:val="26B66697"/>
    <w:rsid w:val="273A72C8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8FB0248"/>
    <w:rsid w:val="29787C34"/>
    <w:rsid w:val="29F55569"/>
    <w:rsid w:val="2A6D1762"/>
    <w:rsid w:val="2A9C2048"/>
    <w:rsid w:val="2AF37C49"/>
    <w:rsid w:val="2B903633"/>
    <w:rsid w:val="2C1A3224"/>
    <w:rsid w:val="2C5F332D"/>
    <w:rsid w:val="2CBB70BA"/>
    <w:rsid w:val="2CDC497D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407D2B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C5276A"/>
    <w:rsid w:val="39783C80"/>
    <w:rsid w:val="399551B1"/>
    <w:rsid w:val="39D619B3"/>
    <w:rsid w:val="3A445910"/>
    <w:rsid w:val="3A557B1D"/>
    <w:rsid w:val="3A726921"/>
    <w:rsid w:val="3A765FE2"/>
    <w:rsid w:val="3B653D90"/>
    <w:rsid w:val="3B7214E4"/>
    <w:rsid w:val="3B7D732B"/>
    <w:rsid w:val="3BAE3989"/>
    <w:rsid w:val="3BAF716B"/>
    <w:rsid w:val="3BCC3E0F"/>
    <w:rsid w:val="3BD66A3C"/>
    <w:rsid w:val="3C424796"/>
    <w:rsid w:val="3CC044ED"/>
    <w:rsid w:val="3CC25530"/>
    <w:rsid w:val="3CC52D38"/>
    <w:rsid w:val="3CD13DD3"/>
    <w:rsid w:val="3CF14B14"/>
    <w:rsid w:val="3D0715A3"/>
    <w:rsid w:val="3DA212CB"/>
    <w:rsid w:val="3DBB238D"/>
    <w:rsid w:val="3DBD6105"/>
    <w:rsid w:val="3E4405D4"/>
    <w:rsid w:val="3E9C5D1B"/>
    <w:rsid w:val="3EA47B5E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4D59F2"/>
    <w:rsid w:val="41641264"/>
    <w:rsid w:val="41700BEB"/>
    <w:rsid w:val="426C3C56"/>
    <w:rsid w:val="42786A9F"/>
    <w:rsid w:val="42BC1743"/>
    <w:rsid w:val="42EE53FF"/>
    <w:rsid w:val="43E4263E"/>
    <w:rsid w:val="446F7A2D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694C08"/>
    <w:rsid w:val="47925F0D"/>
    <w:rsid w:val="47A143DA"/>
    <w:rsid w:val="47E81E53"/>
    <w:rsid w:val="48A028AB"/>
    <w:rsid w:val="48B545A9"/>
    <w:rsid w:val="48D22491"/>
    <w:rsid w:val="495C0DBE"/>
    <w:rsid w:val="49CB1BAA"/>
    <w:rsid w:val="4A070E34"/>
    <w:rsid w:val="4A121587"/>
    <w:rsid w:val="4A4F4589"/>
    <w:rsid w:val="4AB60164"/>
    <w:rsid w:val="4B8E06C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EFD543E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990A97"/>
    <w:rsid w:val="52E57838"/>
    <w:rsid w:val="53CC2939"/>
    <w:rsid w:val="53FD5056"/>
    <w:rsid w:val="542B3971"/>
    <w:rsid w:val="54335EE7"/>
    <w:rsid w:val="5463310B"/>
    <w:rsid w:val="54AF45A2"/>
    <w:rsid w:val="54C142D5"/>
    <w:rsid w:val="550F3292"/>
    <w:rsid w:val="55254864"/>
    <w:rsid w:val="553C395C"/>
    <w:rsid w:val="559B2D78"/>
    <w:rsid w:val="55BA1450"/>
    <w:rsid w:val="55D50038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9D81EA5"/>
    <w:rsid w:val="5A2A0227"/>
    <w:rsid w:val="5A7B0A82"/>
    <w:rsid w:val="5B0311A3"/>
    <w:rsid w:val="5BB5218E"/>
    <w:rsid w:val="5BFE5E0F"/>
    <w:rsid w:val="5CAA564F"/>
    <w:rsid w:val="5DD7705D"/>
    <w:rsid w:val="5E361890"/>
    <w:rsid w:val="5EDA046D"/>
    <w:rsid w:val="5EE237C6"/>
    <w:rsid w:val="5EFF7ED4"/>
    <w:rsid w:val="5F1D47FE"/>
    <w:rsid w:val="5F7679C4"/>
    <w:rsid w:val="5F7F2DC3"/>
    <w:rsid w:val="5FBF1411"/>
    <w:rsid w:val="601A09BC"/>
    <w:rsid w:val="60395667"/>
    <w:rsid w:val="60685F0E"/>
    <w:rsid w:val="60AA0313"/>
    <w:rsid w:val="610D33E8"/>
    <w:rsid w:val="615E35D8"/>
    <w:rsid w:val="619568CD"/>
    <w:rsid w:val="61E67129"/>
    <w:rsid w:val="621A5025"/>
    <w:rsid w:val="62830E1C"/>
    <w:rsid w:val="62CC27C3"/>
    <w:rsid w:val="62CC5525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7B402C"/>
    <w:rsid w:val="65C07C91"/>
    <w:rsid w:val="66CA526B"/>
    <w:rsid w:val="67C12792"/>
    <w:rsid w:val="67DD0FCE"/>
    <w:rsid w:val="67E1286C"/>
    <w:rsid w:val="67E97973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45EBC"/>
    <w:rsid w:val="6C8E2897"/>
    <w:rsid w:val="6CDF30F3"/>
    <w:rsid w:val="6D282CEC"/>
    <w:rsid w:val="6D921E65"/>
    <w:rsid w:val="6DEF7365"/>
    <w:rsid w:val="6DF606F4"/>
    <w:rsid w:val="6E267136"/>
    <w:rsid w:val="6E2D67FA"/>
    <w:rsid w:val="6E6E0BD2"/>
    <w:rsid w:val="6E91041D"/>
    <w:rsid w:val="6EA12D56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1E73078"/>
    <w:rsid w:val="7258197D"/>
    <w:rsid w:val="72C60FDD"/>
    <w:rsid w:val="72EB27F1"/>
    <w:rsid w:val="730241B0"/>
    <w:rsid w:val="731A1328"/>
    <w:rsid w:val="73587D13"/>
    <w:rsid w:val="737547B1"/>
    <w:rsid w:val="73A86934"/>
    <w:rsid w:val="743B50B2"/>
    <w:rsid w:val="74BF5CE3"/>
    <w:rsid w:val="750977D2"/>
    <w:rsid w:val="75263FB5"/>
    <w:rsid w:val="75693EA1"/>
    <w:rsid w:val="75B25848"/>
    <w:rsid w:val="766528BB"/>
    <w:rsid w:val="768F268A"/>
    <w:rsid w:val="76C92E49"/>
    <w:rsid w:val="772C162A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EB30D7"/>
    <w:rsid w:val="7A293F0A"/>
    <w:rsid w:val="7A5E24AA"/>
    <w:rsid w:val="7A9D6F19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8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9">
    <w:name w:val="Body Text Indent"/>
    <w:basedOn w:val="1"/>
    <w:next w:val="10"/>
    <w:qFormat/>
    <w:uiPriority w:val="0"/>
    <w:pPr>
      <w:spacing w:after="120" w:afterLines="0" w:afterAutospacing="0"/>
      <w:ind w:left="420" w:leftChars="200"/>
    </w:pPr>
  </w:style>
  <w:style w:type="paragraph" w:customStyle="1" w:styleId="10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1">
    <w:name w:val="footer"/>
    <w:basedOn w:val="1"/>
    <w:link w:val="3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2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5"/>
    <w:next w:val="1"/>
    <w:link w:val="28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6">
    <w:name w:val="Body Text First Indent"/>
    <w:basedOn w:val="8"/>
    <w:autoRedefine/>
    <w:qFormat/>
    <w:uiPriority w:val="0"/>
    <w:pPr>
      <w:ind w:firstLine="420" w:firstLineChars="100"/>
    </w:pPr>
  </w:style>
  <w:style w:type="paragraph" w:styleId="17">
    <w:name w:val="Body Text First Indent 2"/>
    <w:basedOn w:val="9"/>
    <w:next w:val="1"/>
    <w:qFormat/>
    <w:uiPriority w:val="0"/>
    <w:pPr>
      <w:ind w:firstLine="420" w:firstLineChars="200"/>
    </w:pPr>
  </w:style>
  <w:style w:type="table" w:styleId="19">
    <w:name w:val="Table Grid"/>
    <w:basedOn w:val="18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paragraph" w:customStyle="1" w:styleId="23">
    <w:name w:val="0正文"/>
    <w:basedOn w:val="1"/>
    <w:qFormat/>
    <w:uiPriority w:val="0"/>
    <w:pPr>
      <w:ind w:firstLine="480" w:firstLineChars="200"/>
    </w:pPr>
  </w:style>
  <w:style w:type="character" w:customStyle="1" w:styleId="24">
    <w:name w:val="标题 2 字符"/>
    <w:basedOn w:val="20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6">
    <w:name w:val="标题 3 字符"/>
    <w:basedOn w:val="20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7">
    <w:name w:val="标题 4 字符"/>
    <w:basedOn w:val="20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8">
    <w:name w:val="标题 字符"/>
    <w:basedOn w:val="20"/>
    <w:link w:val="15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9">
    <w:name w:val="页眉 字符"/>
    <w:basedOn w:val="20"/>
    <w:link w:val="12"/>
    <w:autoRedefine/>
    <w:qFormat/>
    <w:uiPriority w:val="99"/>
    <w:rPr>
      <w:sz w:val="18"/>
      <w:szCs w:val="18"/>
    </w:rPr>
  </w:style>
  <w:style w:type="character" w:customStyle="1" w:styleId="30">
    <w:name w:val="页脚 字符"/>
    <w:basedOn w:val="20"/>
    <w:link w:val="11"/>
    <w:autoRedefine/>
    <w:qFormat/>
    <w:uiPriority w:val="99"/>
    <w:rPr>
      <w:sz w:val="18"/>
      <w:szCs w:val="18"/>
    </w:rPr>
  </w:style>
  <w:style w:type="character" w:customStyle="1" w:styleId="31">
    <w:name w:val="标题 1 字符"/>
    <w:basedOn w:val="20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2">
    <w:name w:val="副标题 字符"/>
    <w:basedOn w:val="20"/>
    <w:link w:val="13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4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6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7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8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9">
    <w:name w:val="font3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40">
    <w:name w:val="font2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1">
    <w:name w:val="font4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2">
    <w:name w:val="font11"/>
    <w:basedOn w:val="20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3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4">
    <w:name w:val="列出段落1"/>
    <w:basedOn w:val="1"/>
    <w:qFormat/>
    <w:uiPriority w:val="34"/>
    <w:pPr>
      <w:ind w:firstLine="420" w:firstLineChars="200"/>
    </w:pPr>
  </w:style>
  <w:style w:type="paragraph" w:customStyle="1" w:styleId="45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6.xml"/><Relationship Id="rId8" Type="http://schemas.openxmlformats.org/officeDocument/2006/relationships/chart" Target="charts/chart5.xml"/><Relationship Id="rId7" Type="http://schemas.openxmlformats.org/officeDocument/2006/relationships/chart" Target="charts/chart4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hart" Target="charts/chart13.xml"/><Relationship Id="rId15" Type="http://schemas.openxmlformats.org/officeDocument/2006/relationships/chart" Target="charts/chart12.xml"/><Relationship Id="rId14" Type="http://schemas.openxmlformats.org/officeDocument/2006/relationships/chart" Target="charts/chart11.xml"/><Relationship Id="rId13" Type="http://schemas.openxmlformats.org/officeDocument/2006/relationships/chart" Target="charts/chart10.xml"/><Relationship Id="rId12" Type="http://schemas.openxmlformats.org/officeDocument/2006/relationships/chart" Target="charts/chart9.xml"/><Relationship Id="rId11" Type="http://schemas.openxmlformats.org/officeDocument/2006/relationships/chart" Target="charts/chart8.xml"/><Relationship Id="rId10" Type="http://schemas.openxmlformats.org/officeDocument/2006/relationships/chart" Target="charts/chart7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2.xml"/><Relationship Id="rId2" Type="http://schemas.microsoft.com/office/2011/relationships/chartStyle" Target="style12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&#38043;&#30333;&#26495;&#22359;&#22522;&#30784;&#35745;&#31639;&#34920;.xlsx" TargetMode="External"/></Relationships>
</file>

<file path=word/charts/_rels/chart2.xml.rels><?xml version="1.0" encoding="UTF-8" standalone="yes"?>
<Relationships xmlns="http://schemas.openxmlformats.org/package/2006/relationships"><Relationship Id="rId4" Type="http://schemas.microsoft.com/office/2011/relationships/chartColorStyle" Target="colors13.xml"/><Relationship Id="rId3" Type="http://schemas.microsoft.com/office/2011/relationships/chartStyle" Target="style13.xml"/><Relationship Id="rId2" Type="http://schemas.openxmlformats.org/officeDocument/2006/relationships/themeOverride" Target="../theme/themeOverride5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3.xml.rels><?xml version="1.0" encoding="UTF-8" standalone="yes"?>
<Relationships xmlns="http://schemas.openxmlformats.org/package/2006/relationships"><Relationship Id="rId4" Type="http://schemas.microsoft.com/office/2011/relationships/chartColorStyle" Target="colors9.xml"/><Relationship Id="rId3" Type="http://schemas.microsoft.com/office/2011/relationships/chartStyle" Target="style9.xml"/><Relationship Id="rId2" Type="http://schemas.openxmlformats.org/officeDocument/2006/relationships/themeOverride" Target="../theme/themeOverride4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4.xml.rels><?xml version="1.0" encoding="UTF-8" standalone="yes"?>
<Relationships xmlns="http://schemas.openxmlformats.org/package/2006/relationships"><Relationship Id="rId4" Type="http://schemas.microsoft.com/office/2011/relationships/chartColorStyle" Target="colors7.xml"/><Relationship Id="rId3" Type="http://schemas.microsoft.com/office/2011/relationships/chartStyle" Target="style7.xml"/><Relationship Id="rId2" Type="http://schemas.openxmlformats.org/officeDocument/2006/relationships/themeOverride" Target="../theme/themeOverride3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10.xml"/><Relationship Id="rId2" Type="http://schemas.microsoft.com/office/2011/relationships/chartStyle" Target="style10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11.xml"/><Relationship Id="rId2" Type="http://schemas.microsoft.com/office/2011/relationships/chartStyle" Target="style11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ColorStyle" Target="colors8.xml"/><Relationship Id="rId2" Type="http://schemas.microsoft.com/office/2011/relationships/chartStyle" Target="style8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10.xml.rels><?xml version="1.0" encoding="UTF-8" standalone="yes"?>
<Relationships xmlns="http://schemas.openxmlformats.org/package/2006/relationships"><Relationship Id="rId4" Type="http://schemas.microsoft.com/office/2011/relationships/chartColorStyle" Target="colors2.xml"/><Relationship Id="rId3" Type="http://schemas.microsoft.com/office/2011/relationships/chartStyle" Target="style2.xml"/><Relationship Id="rId2" Type="http://schemas.openxmlformats.org/officeDocument/2006/relationships/themeOverride" Target="../theme/themeOverride1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12.xml.rels><?xml version="1.0" encoding="UTF-8" standalone="yes"?>
<Relationships xmlns="http://schemas.openxmlformats.org/package/2006/relationships"><Relationship Id="rId4" Type="http://schemas.microsoft.com/office/2011/relationships/chartColorStyle" Target="colors5.xml"/><Relationship Id="rId3" Type="http://schemas.microsoft.com/office/2011/relationships/chartStyle" Target="style5.xml"/><Relationship Id="rId2" Type="http://schemas.openxmlformats.org/officeDocument/2006/relationships/themeOverride" Target="../theme/themeOverride2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E:\&#38034;&#38043;&#24037;&#20316;&#36164;&#26009;\&#21327;&#20250;&#24037;&#20316;&#36164;&#26009;\2025&#24180;&#21327;&#20250;&#24037;&#20316;\2026&#24180;&#38034;&#38043;&#20135;&#19994;&#21457;&#23637;&#25253;&#21578;\2025&#24180;&#38043;&#30333;&#31881;&#20135;&#19994;&#21457;&#23637;&#25253;&#21578;\&#38043;&#30333;&#26495;&#22359;&#22522;&#30784;&#35745;&#31639;&#3492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93166405842462"/>
          <c:y val="0.0782632743362832"/>
          <c:w val="0.891992696922274"/>
          <c:h val="0.698230088495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'[钛白板块基础计算表.xlsx]20万吨以上企业'!$A$3</c:f>
              <c:strCache>
                <c:ptCount val="1"/>
                <c:pt idx="0">
                  <c:v>产能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'[钛白板块基础计算表.xlsx]20万吨以上企业'!$B$2:$H$2</c:f>
              <c:strCache>
                <c:ptCount val="7"/>
                <c:pt idx="0">
                  <c:v>龙佰集团</c:v>
                </c:pt>
                <c:pt idx="1">
                  <c:v>钛能化学</c:v>
                </c:pt>
                <c:pt idx="2">
                  <c:v>山东鲁北</c:v>
                </c:pt>
                <c:pt idx="3">
                  <c:v>攀钢钒钛</c:v>
                </c:pt>
                <c:pt idx="4">
                  <c:v>山东东佳</c:v>
                </c:pt>
                <c:pt idx="5">
                  <c:v>内蒙国城</c:v>
                </c:pt>
                <c:pt idx="6">
                  <c:v>福建坤彩</c:v>
                </c:pt>
              </c:strCache>
            </c:strRef>
          </c:cat>
          <c:val>
            <c:numRef>
              <c:f>'[钛白板块基础计算表.xlsx]20万吨以上企业'!$B$3:$H$3</c:f>
              <c:numCache>
                <c:formatCode>General</c:formatCode>
                <c:ptCount val="7"/>
                <c:pt idx="0">
                  <c:v>151</c:v>
                </c:pt>
                <c:pt idx="1">
                  <c:v>54</c:v>
                </c:pt>
                <c:pt idx="2">
                  <c:v>32</c:v>
                </c:pt>
                <c:pt idx="3">
                  <c:v>29.5</c:v>
                </c:pt>
                <c:pt idx="4">
                  <c:v>23</c:v>
                </c:pt>
                <c:pt idx="5">
                  <c:v>20</c:v>
                </c:pt>
                <c:pt idx="6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6"/>
        <c:overlap val="-28"/>
        <c:axId val="675498268"/>
        <c:axId val="146601473"/>
      </c:barChart>
      <c:catAx>
        <c:axId val="67549826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146601473"/>
        <c:crosses val="autoZero"/>
        <c:auto val="1"/>
        <c:lblAlgn val="ctr"/>
        <c:lblOffset val="100"/>
        <c:noMultiLvlLbl val="0"/>
      </c:catAx>
      <c:valAx>
        <c:axId val="14660147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6754982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</c:legendEntry>
      <c:layout>
        <c:manualLayout>
          <c:xMode val="edge"/>
          <c:yMode val="edge"/>
          <c:x val="0.447965571205007"/>
          <c:y val="0.901673955216851"/>
          <c:w val="0.108502869066249"/>
          <c:h val="0.0888533576975788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仿宋" panose="02010609060101010101" charset="-122"/>
              <a:ea typeface="仿宋" panose="02010609060101010101" charset="-122"/>
              <a:cs typeface="仿宋" panose="02010609060101010101" charset="-122"/>
              <a:sym typeface="仿宋" panose="02010609060101010101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88e08df-e04b-4e91-80a1-d4ec9fa806f2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050">
          <a:latin typeface="仿宋" panose="02010609060101010101" charset="-122"/>
          <a:ea typeface="仿宋" panose="02010609060101010101" charset="-122"/>
          <a:cs typeface="仿宋" panose="02010609060101010101" charset="-122"/>
          <a:sym typeface="仿宋" panose="02010609060101010101" charset="-122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18643024054982"/>
          <c:y val="0.176504830810613"/>
          <c:w val="0.387079037800687"/>
          <c:h val="0.682666666666667"/>
        </c:manualLayout>
      </c:layout>
      <c:pieChart>
        <c:varyColors val="1"/>
        <c:ser>
          <c:idx val="0"/>
          <c:order val="0"/>
          <c:tx>
            <c:strRef>
              <c:f>[钛白板块基础计算表.xlsx]产能分布!$A$3</c:f>
              <c:strCache>
                <c:ptCount val="1"/>
                <c:pt idx="0">
                  <c:v>占比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ea typeface="+mn-ea"/>
                      </a:rPr>
                      <a:t>西南</a:t>
                    </a:r>
                    <a:endParaRPr>
                      <a:latin typeface="+mn-ea"/>
                      <a:ea typeface="+mn-ea"/>
                    </a:endParaRPr>
                  </a:p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cs typeface="+mj-ea"/>
                      </a:rPr>
                      <a:t>25.68%</a:t>
                    </a:r>
                    <a:endParaRPr>
                      <a:latin typeface="+mj-ea"/>
                      <a:cs typeface="+mj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华北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5.08%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华东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cs typeface="+mj-ea"/>
                      </a:rPr>
                      <a:t>25.76%</a:t>
                    </a:r>
                    <a:endParaRPr>
                      <a:latin typeface="+mj-ea"/>
                      <a:cs typeface="+mj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t> </a:t>
                    </a:r>
                    <a:r>
                      <a:rPr>
                        <a:latin typeface="+mj-ea"/>
                        <a:ea typeface="+mj-ea"/>
                      </a:rPr>
                      <a:t>华南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15.02%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 </a:t>
                    </a:r>
                    <a:r>
                      <a:rPr>
                        <a:latin typeface="+mj-ea"/>
                        <a:ea typeface="+mj-ea"/>
                        <a:cs typeface="+mn-ea"/>
                      </a:rPr>
                      <a:t>华中</a:t>
                    </a:r>
                    <a:endParaRPr>
                      <a:latin typeface="+mj-ea"/>
                      <a:ea typeface="+mj-ea"/>
                      <a:cs typeface="+mn-ea"/>
                    </a:endParaRPr>
                  </a:p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16.85%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0553766503888587"/>
                  <c:y val="0.0338583608754742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50">
                        <a:latin typeface="+mj-ea"/>
                        <a:ea typeface="+mj-ea"/>
                        <a:cs typeface="+mj-ea"/>
                        <a:sym typeface="仿宋" panose="02010609060101010101" charset="-122"/>
                      </a:rPr>
                      <a:t>西北</a:t>
                    </a:r>
                    <a:endParaRPr sz="1050">
                      <a:latin typeface="+mj-ea"/>
                      <a:ea typeface="+mj-ea"/>
                      <a:cs typeface="+mj-ea"/>
                      <a:sym typeface="仿宋" panose="02010609060101010101" charset="-122"/>
                    </a:endParaRPr>
                  </a:p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50">
                        <a:latin typeface="+mj-ea"/>
                        <a:ea typeface="仿宋" panose="02010609060101010101" charset="-122"/>
                        <a:cs typeface="+mj-ea"/>
                        <a:sym typeface="仿宋" panose="02010609060101010101" charset="-122"/>
                      </a:rPr>
                      <a:t>9.70%</a:t>
                    </a:r>
                    <a:endParaRPr sz="1050">
                      <a:latin typeface="+mj-ea"/>
                      <a:ea typeface="仿宋" panose="02010609060101010101" charset="-122"/>
                      <a:cs typeface="+mj-ea"/>
                      <a:sym typeface="仿宋" panose="02010609060101010101" charset="-122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6357388316151"/>
                      <c:h val="0.184471687098657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0.00412371134020619"/>
                  <c:y val="0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50">
                        <a:latin typeface="+mn-ea"/>
                        <a:ea typeface="+mn-ea"/>
                        <a:cs typeface="仿宋" panose="02010609060101010101" charset="-122"/>
                        <a:sym typeface="仿宋" panose="02010609060101010101" charset="-122"/>
                      </a:rPr>
                      <a:t>东北</a:t>
                    </a:r>
                    <a:endParaRPr sz="1050">
                      <a:latin typeface="+mn-ea"/>
                      <a:ea typeface="+mn-ea"/>
                      <a:cs typeface="仿宋" panose="02010609060101010101" charset="-122"/>
                      <a:sym typeface="仿宋" panose="02010609060101010101" charset="-122"/>
                    </a:endParaRPr>
                  </a:p>
                  <a:p>
                    <a:pPr defTabSz="914400">
                      <a:defRPr lang="zh-CN" sz="10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50">
                        <a:latin typeface="+mj-ea"/>
                        <a:ea typeface="仿宋" panose="02010609060101010101" charset="-122"/>
                        <a:cs typeface="+mj-ea"/>
                        <a:sym typeface="仿宋" panose="02010609060101010101" charset="-122"/>
                      </a:rPr>
                      <a:t>1.91%</a:t>
                    </a:r>
                    <a:endParaRPr sz="1050">
                      <a:latin typeface="+mj-ea"/>
                      <a:ea typeface="仿宋" panose="02010609060101010101" charset="-122"/>
                      <a:cs typeface="+mj-ea"/>
                      <a:sym typeface="仿宋" panose="02010609060101010101" charset="-122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1134020618557"/>
                      <c:h val="0.20389461626575"/>
                    </c:manualLayout>
                  </c15:layout>
                </c:ext>
              </c:extLst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 forceAA="0"/>
              <a:lstStyle/>
              <a:p>
                <a:pPr>
                  <a:defRPr lang="zh-CN"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[钛白板块基础计算表.xlsx]产能分布!$B$1:$H$2</c:f>
              <c:multiLvlStrCache>
                <c:ptCount val="7"/>
                <c:lvl>
                  <c:pt idx="0">
                    <c:v>西南</c:v>
                  </c:pt>
                  <c:pt idx="1">
                    <c:v>华北</c:v>
                  </c:pt>
                  <c:pt idx="2">
                    <c:v>华东</c:v>
                  </c:pt>
                  <c:pt idx="3">
                    <c:v>华南</c:v>
                  </c:pt>
                  <c:pt idx="4">
                    <c:v>华中</c:v>
                  </c:pt>
                  <c:pt idx="5">
                    <c:v>西北</c:v>
                  </c:pt>
                  <c:pt idx="6">
                    <c:v>东北</c:v>
                  </c:pt>
                </c:lvl>
                <c:lvl/>
              </c:multiLvlStrCache>
            </c:multiLvlStrRef>
          </c:cat>
          <c:val>
            <c:numRef>
              <c:f>[钛白板块基础计算表.xlsx]产能分布!$B$3:$H$3</c:f>
              <c:numCache>
                <c:formatCode>0.00%</c:formatCode>
                <c:ptCount val="7"/>
                <c:pt idx="0">
                  <c:v>0.2568</c:v>
                </c:pt>
                <c:pt idx="1">
                  <c:v>0.0508</c:v>
                </c:pt>
                <c:pt idx="2">
                  <c:v>0.2576</c:v>
                </c:pt>
                <c:pt idx="3">
                  <c:v>0.1502</c:v>
                </c:pt>
                <c:pt idx="4">
                  <c:v>0.1685</c:v>
                </c:pt>
                <c:pt idx="5">
                  <c:v>0.097</c:v>
                </c:pt>
                <c:pt idx="6">
                  <c:v>0.0191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b3671818-cba2-45aa-a447-326ba91d8562}"/>
      </c:ext>
    </c:extLst>
  </c:chart>
  <c:spPr>
    <a:solidFill>
      <a:schemeClr val="bg1"/>
    </a:solidFill>
    <a:ln w="6350" cap="flat" cmpd="sng" algn="ctr">
      <a:noFill/>
      <a:round/>
    </a:ln>
    <a:effectLst/>
  </c:spPr>
  <c:txPr>
    <a:bodyPr/>
    <a:lstStyle/>
    <a:p>
      <a:pPr>
        <a:defRPr lang="zh-CN" sz="1050">
          <a:latin typeface="仿宋" panose="02010609060101010101" charset="-122"/>
          <a:ea typeface="仿宋" panose="02010609060101010101" charset="-122"/>
          <a:cs typeface="仿宋" panose="02010609060101010101" charset="-122"/>
          <a:sym typeface="仿宋" panose="02010609060101010101" charset="-122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90102067198256"/>
          <c:y val="0.132322175732218"/>
          <c:w val="0.39437404261245"/>
          <c:h val="0.740585774058577"/>
        </c:manualLayout>
      </c:layout>
      <c:pieChart>
        <c:varyColors val="1"/>
        <c:ser>
          <c:idx val="0"/>
          <c:order val="0"/>
          <c:tx>
            <c:strRef>
              <c:f>[钛白板块基础计算表.xlsx]统计企业!$M$39</c:f>
              <c:strCache>
                <c:ptCount val="1"/>
                <c:pt idx="0">
                  <c:v>占比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硫酸法钛白粉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cs typeface="+mj-ea"/>
                      </a:rPr>
                      <a:t>84.09%</a:t>
                    </a:r>
                    <a:endParaRPr>
                      <a:latin typeface="+mj-ea"/>
                      <a:cs typeface="+mj-ea"/>
                    </a:endParaRPr>
                  </a:p>
                </c:rich>
              </c:tx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微软雅黑" panose="020B0503020204020204" pitchFamily="2" charset="-122"/>
                      <a:ea typeface="微软雅黑" panose="020B0503020204020204" pitchFamily="2" charset="-122"/>
                      <a:cs typeface="微软雅黑" panose="020B0503020204020204" pitchFamily="2" charset="-122"/>
                      <a:sym typeface="微软雅黑" panose="020B0503020204020204" pitchFamily="2" charset="-122"/>
                    </a:defRPr>
                  </a:pPr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0972544507069093"/>
                  <c:y val="0.0566124858481989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氯化法钛白粉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cs typeface="+mj-ea"/>
                      </a:rPr>
                      <a:t>15.08%</a:t>
                    </a:r>
                    <a:endParaRPr>
                      <a:latin typeface="+mj-ea"/>
                      <a:cs typeface="+mj-ea"/>
                    </a:endParaRPr>
                  </a:p>
                </c:rich>
              </c:tx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微软雅黑" panose="020B0503020204020204" pitchFamily="2" charset="-122"/>
                      <a:ea typeface="微软雅黑" panose="020B0503020204020204" pitchFamily="2" charset="-122"/>
                      <a:cs typeface="微软雅黑" panose="020B0503020204020204" pitchFamily="2" charset="-122"/>
                      <a:sym typeface="微软雅黑" panose="020B0503020204020204" pitchFamily="2" charset="-122"/>
                    </a:defRPr>
                  </a:pPr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27937732246645"/>
                  <c:y val="0.0620179927289026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盐酸法钛白粉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cs typeface="+mj-ea"/>
                      </a:rPr>
                      <a:t>0.83%</a:t>
                    </a:r>
                    <a:endParaRPr>
                      <a:latin typeface="+mj-ea"/>
                      <a:cs typeface="+mj-ea"/>
                    </a:endParaRPr>
                  </a:p>
                </c:rich>
              </c:tx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微软雅黑" panose="020B0503020204020204" pitchFamily="2" charset="-122"/>
                      <a:ea typeface="微软雅黑" panose="020B0503020204020204" pitchFamily="2" charset="-122"/>
                      <a:cs typeface="微软雅黑" panose="020B0503020204020204" pitchFamily="2" charset="-122"/>
                      <a:sym typeface="微软雅黑" panose="020B0503020204020204" pitchFamily="2" charset="-122"/>
                    </a:defRPr>
                  </a:pPr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 forceAA="0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[钛白板块基础计算表.xlsx]统计企业!$L$40:$L$42</c:f>
              <c:strCache>
                <c:ptCount val="3"/>
                <c:pt idx="0">
                  <c:v>硫酸法钛白粉：</c:v>
                </c:pt>
                <c:pt idx="1">
                  <c:v>氯化法钛白粉：</c:v>
                </c:pt>
                <c:pt idx="2">
                  <c:v>盐酸法钛白粉：</c:v>
                </c:pt>
              </c:strCache>
            </c:strRef>
          </c:cat>
          <c:val>
            <c:numRef>
              <c:f>[钛白板块基础计算表.xlsx]统计企业!$M$40:$M$42</c:f>
              <c:numCache>
                <c:formatCode>0.00%</c:formatCode>
                <c:ptCount val="3"/>
                <c:pt idx="0">
                  <c:v>0.8409</c:v>
                </c:pt>
                <c:pt idx="1">
                  <c:v>0.1508</c:v>
                </c:pt>
                <c:pt idx="2">
                  <c:v>0.0083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e8d7b75e-ec9a-4de3-aa94-b2966f645e57}"/>
      </c:ext>
    </c:extLst>
  </c:chart>
  <c:spPr>
    <a:solidFill>
      <a:schemeClr val="bg1"/>
    </a:solidFill>
    <a:ln w="6350" cap="flat" cmpd="sng" algn="ctr">
      <a:noFill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  <a:cs typeface="微软雅黑" panose="020B0503020204020204" pitchFamily="2" charset="-122"/>
          <a:sym typeface="微软雅黑" panose="020B0503020204020204" pitchFamily="2" charset="-122"/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62315789473684"/>
          <c:y val="0.145192307692308"/>
          <c:w val="0.450245614035088"/>
          <c:h val="0.771153846153846"/>
        </c:manualLayout>
      </c:layout>
      <c:pieChart>
        <c:varyColors val="1"/>
        <c:ser>
          <c:idx val="0"/>
          <c:order val="0"/>
          <c:tx>
            <c:strRef>
              <c:f>[钛白板块基础计算表.xlsx]各省产量!$I$24</c:f>
              <c:strCache>
                <c:ptCount val="1"/>
                <c:pt idx="0">
                  <c:v>占比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0345087719298245"/>
                  <c:y val="0.00273642927177111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ea typeface="+mj-ea"/>
                        <a:cs typeface="仿宋" panose="02010609060101010101" charset="-122"/>
                        <a:sym typeface="仿宋" panose="02010609060101010101" charset="-122"/>
                      </a:rPr>
                      <a:t>东北</a:t>
                    </a:r>
                    <a:endParaRPr sz="1000">
                      <a:latin typeface="+mj-ea"/>
                      <a:ea typeface="+mj-ea"/>
                      <a:cs typeface="仿宋" panose="02010609060101010101" charset="-122"/>
                      <a:sym typeface="仿宋" panose="02010609060101010101" charset="-122"/>
                    </a:endParaRPr>
                  </a:p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n-ea"/>
                        <a:ea typeface="仿宋" panose="02010609060101010101" charset="-122"/>
                        <a:cs typeface="+mn-ea"/>
                        <a:sym typeface="仿宋" panose="02010609060101010101" charset="-122"/>
                      </a:rPr>
                      <a:t>2.15%</a:t>
                    </a:r>
                    <a:endParaRPr sz="1000">
                      <a:latin typeface="+mn-ea"/>
                      <a:ea typeface="仿宋" panose="02010609060101010101" charset="-122"/>
                      <a:cs typeface="+mn-ea"/>
                      <a:sym typeface="仿宋" panose="02010609060101010101" charset="-122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9789473684211"/>
                      <c:h val="0.147596153846154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0.0882105263157894"/>
                  <c:y val="0.0199519230769231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ea typeface="+mj-ea"/>
                        <a:cs typeface="+mj-ea"/>
                        <a:sym typeface="仿宋" panose="02010609060101010101" charset="-122"/>
                      </a:rPr>
                      <a:t>华北</a:t>
                    </a:r>
                    <a:endParaRPr sz="1000">
                      <a:latin typeface="+mj-ea"/>
                      <a:ea typeface="+mj-ea"/>
                      <a:cs typeface="+mj-ea"/>
                      <a:sym typeface="仿宋" panose="02010609060101010101" charset="-122"/>
                    </a:endParaRPr>
                  </a:p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n-ea"/>
                        <a:ea typeface="仿宋" panose="02010609060101010101" charset="-122"/>
                        <a:cs typeface="+mn-ea"/>
                        <a:sym typeface="仿宋" panose="02010609060101010101" charset="-122"/>
                      </a:rPr>
                      <a:t>3.15%</a:t>
                    </a:r>
                    <a:endParaRPr sz="1000">
                      <a:latin typeface="+mn-ea"/>
                      <a:ea typeface="仿宋" panose="02010609060101010101" charset="-122"/>
                      <a:cs typeface="+mn-ea"/>
                      <a:sym typeface="仿宋" panose="02010609060101010101" charset="-122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19719298245614"/>
                      <c:h val="0.134375"/>
                    </c:manualLayout>
                  </c15:layout>
                </c:ext>
              </c:extLst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ea typeface="+mj-ea"/>
                      </a:rPr>
                      <a:t>华东</a:t>
                    </a:r>
                    <a:endParaRPr sz="1000"/>
                  </a:p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n-ea"/>
                        <a:cs typeface="+mn-ea"/>
                      </a:rPr>
                      <a:t>30.19%</a:t>
                    </a:r>
                    <a:endParaRPr sz="1000"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.0912280701754386"/>
                  <c:y val="0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ea typeface="+mj-ea"/>
                      </a:rPr>
                      <a:t>华中</a:t>
                    </a:r>
                    <a:endParaRPr sz="1000"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n-ea"/>
                        <a:cs typeface="+mn-ea"/>
                      </a:rPr>
                      <a:t>19.68%</a:t>
                    </a:r>
                    <a:endParaRPr sz="1000"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31087719298246"/>
                      <c:h val="0.166105769230769"/>
                    </c:manualLayout>
                  </c15:layout>
                </c:ext>
              </c:extLst>
            </c:dLbl>
            <c:dLbl>
              <c:idx val="4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ea typeface="+mj-ea"/>
                      </a:rPr>
                      <a:t>华南</a:t>
                    </a:r>
                    <a:endParaRPr sz="1000"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cs typeface="+mj-ea"/>
                      </a:rPr>
                      <a:t>11.90%</a:t>
                    </a:r>
                    <a:endParaRPr sz="1000">
                      <a:latin typeface="+mj-ea"/>
                      <a:cs typeface="+mj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30666666666667"/>
                      <c:h val="0.163701923076923"/>
                    </c:manualLayout>
                  </c15:layout>
                </c:ext>
              </c:extLst>
            </c:dLbl>
            <c:dLbl>
              <c:idx val="5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ea typeface="+mj-ea"/>
                      </a:rPr>
                      <a:t>西北</a:t>
                    </a:r>
                    <a:endParaRPr sz="1000"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cs typeface="+mj-ea"/>
                      </a:rPr>
                      <a:t>2.92%</a:t>
                    </a:r>
                    <a:endParaRPr sz="1000">
                      <a:latin typeface="+mj-ea"/>
                      <a:cs typeface="+mj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31087719298246"/>
                      <c:h val="0.178365384615385"/>
                    </c:manualLayout>
                  </c15:layout>
                </c:ext>
              </c:extLst>
            </c:dLbl>
            <c:dLbl>
              <c:idx val="6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ea typeface="+mj-ea"/>
                      </a:rPr>
                      <a:t>西南</a:t>
                    </a:r>
                    <a:endParaRPr sz="1000"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8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 sz="1000">
                        <a:latin typeface="+mj-ea"/>
                        <a:cs typeface="+mj-ea"/>
                      </a:rPr>
                      <a:t>30.01%</a:t>
                    </a:r>
                    <a:endParaRPr sz="1000">
                      <a:latin typeface="+mj-ea"/>
                      <a:cs typeface="+mj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03438596491228"/>
                      <c:h val="0.153846153846154"/>
                    </c:manualLayout>
                  </c15:layout>
                </c:ext>
              </c:extLst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 forceAA="0"/>
              <a:lstStyle/>
              <a:p>
                <a:pPr>
                  <a:defRPr lang="zh-CN"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[钛白板块基础计算表.xlsx]各省产量!$J$23:$P$23</c:f>
              <c:strCache>
                <c:ptCount val="7"/>
                <c:pt idx="0">
                  <c:v>东北</c:v>
                </c:pt>
                <c:pt idx="1">
                  <c:v>华北</c:v>
                </c:pt>
                <c:pt idx="2">
                  <c:v>华东</c:v>
                </c:pt>
                <c:pt idx="3">
                  <c:v>华中</c:v>
                </c:pt>
                <c:pt idx="4">
                  <c:v>华南</c:v>
                </c:pt>
                <c:pt idx="5">
                  <c:v>西北</c:v>
                </c:pt>
                <c:pt idx="6">
                  <c:v>西南</c:v>
                </c:pt>
              </c:strCache>
            </c:strRef>
          </c:cat>
          <c:val>
            <c:numRef>
              <c:f>[钛白板块基础计算表.xlsx]各省产量!$J$24:$P$24</c:f>
              <c:numCache>
                <c:formatCode>0.00%</c:formatCode>
                <c:ptCount val="7"/>
                <c:pt idx="0">
                  <c:v>0.0215</c:v>
                </c:pt>
                <c:pt idx="1">
                  <c:v>0.0315</c:v>
                </c:pt>
                <c:pt idx="2">
                  <c:v>0.3019</c:v>
                </c:pt>
                <c:pt idx="3">
                  <c:v>0.1968</c:v>
                </c:pt>
                <c:pt idx="4">
                  <c:v>0.119</c:v>
                </c:pt>
                <c:pt idx="5">
                  <c:v>0.0292</c:v>
                </c:pt>
                <c:pt idx="6">
                  <c:v>0.3001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ed961ed7-99a6-48d8-b075-8c16186a111d}"/>
      </c:ext>
    </c:extLst>
  </c:chart>
  <c:spPr>
    <a:solidFill>
      <a:schemeClr val="bg1"/>
    </a:solidFill>
    <a:ln w="6350" cap="flat" cmpd="sng" algn="ctr">
      <a:noFill/>
      <a:round/>
    </a:ln>
    <a:effectLst/>
  </c:spPr>
  <c:txPr>
    <a:bodyPr/>
    <a:lstStyle/>
    <a:p>
      <a:pPr>
        <a:defRPr lang="zh-CN" sz="800">
          <a:latin typeface="仿宋" panose="02010609060101010101" charset="-122"/>
          <a:ea typeface="仿宋" panose="02010609060101010101" charset="-122"/>
          <a:cs typeface="仿宋" panose="02010609060101010101" charset="-122"/>
          <a:sym typeface="仿宋" panose="02010609060101010101" charset="-122"/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4719935213929"/>
          <c:y val="0.0610949484263422"/>
          <c:w val="0.897611013632069"/>
          <c:h val="0.688812483469981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07798958"/>
        <c:axId val="161211182"/>
      </c:barChart>
      <c:lineChart>
        <c:grouping val="standard"/>
        <c:varyColors val="0"/>
        <c:ser>
          <c:idx val="0"/>
          <c:order val="0"/>
          <c:tx>
            <c:strRef>
              <c:f>[钛白板块基础计算表.xlsx]各省产量!$I$40</c:f>
              <c:strCache>
                <c:ptCount val="1"/>
                <c:pt idx="0">
                  <c:v>各区域产能利用率（%）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6"/>
              <c:layout>
                <c:manualLayout>
                  <c:x val="-0.0118421052631579"/>
                  <c:y val="-0.0069444444444444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[钛白板块基础计算表.xlsx]各省产量!$J$39:$P$39</c:f>
              <c:strCache>
                <c:ptCount val="7"/>
                <c:pt idx="0">
                  <c:v>东北</c:v>
                </c:pt>
                <c:pt idx="1">
                  <c:v>华北</c:v>
                </c:pt>
                <c:pt idx="2">
                  <c:v>华东</c:v>
                </c:pt>
                <c:pt idx="3">
                  <c:v>华中</c:v>
                </c:pt>
                <c:pt idx="4">
                  <c:v>华南</c:v>
                </c:pt>
                <c:pt idx="5">
                  <c:v>西北</c:v>
                </c:pt>
                <c:pt idx="6">
                  <c:v>西南</c:v>
                </c:pt>
              </c:strCache>
            </c:strRef>
          </c:cat>
          <c:val>
            <c:numRef>
              <c:f>[钛白板块基础计算表.xlsx]各省产量!$J$40:$P$40</c:f>
              <c:numCache>
                <c:formatCode>General</c:formatCode>
                <c:ptCount val="7"/>
                <c:pt idx="0">
                  <c:v>86.25</c:v>
                </c:pt>
                <c:pt idx="1">
                  <c:v>47.31</c:v>
                </c:pt>
                <c:pt idx="2">
                  <c:v>71.14</c:v>
                </c:pt>
                <c:pt idx="3">
                  <c:v>89.25</c:v>
                </c:pt>
                <c:pt idx="4">
                  <c:v>64.62</c:v>
                </c:pt>
                <c:pt idx="5">
                  <c:v>70.1</c:v>
                </c:pt>
                <c:pt idx="6">
                  <c:v>86.66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[钛白板块基础计算表.xlsx]各省产量!$I$41</c:f>
              <c:strCache>
                <c:ptCount val="1"/>
                <c:pt idx="0">
                  <c:v>平均利用率（%）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layout>
                <c:manualLayout>
                  <c:x val="-0.0157894736842105"/>
                  <c:y val="0.034722222222222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[钛白板块基础计算表.xlsx]各省产量!$J$39:$P$39</c:f>
              <c:strCache>
                <c:ptCount val="7"/>
                <c:pt idx="0">
                  <c:v>东北</c:v>
                </c:pt>
                <c:pt idx="1">
                  <c:v>华北</c:v>
                </c:pt>
                <c:pt idx="2">
                  <c:v>华东</c:v>
                </c:pt>
                <c:pt idx="3">
                  <c:v>华中</c:v>
                </c:pt>
                <c:pt idx="4">
                  <c:v>华南</c:v>
                </c:pt>
                <c:pt idx="5">
                  <c:v>西北</c:v>
                </c:pt>
                <c:pt idx="6">
                  <c:v>西南</c:v>
                </c:pt>
              </c:strCache>
            </c:strRef>
          </c:cat>
          <c:val>
            <c:numRef>
              <c:f>[钛白板块基础计算表.xlsx]各省产量!$J$41:$P$41</c:f>
              <c:numCache>
                <c:formatCode>General</c:formatCode>
                <c:ptCount val="7"/>
                <c:pt idx="0">
                  <c:v>76.43</c:v>
                </c:pt>
                <c:pt idx="1">
                  <c:v>76.43</c:v>
                </c:pt>
                <c:pt idx="2">
                  <c:v>76.43</c:v>
                </c:pt>
                <c:pt idx="3">
                  <c:v>76.43</c:v>
                </c:pt>
                <c:pt idx="4">
                  <c:v>76.43</c:v>
                </c:pt>
                <c:pt idx="5">
                  <c:v>76.43</c:v>
                </c:pt>
                <c:pt idx="6">
                  <c:v>76.43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907798958"/>
        <c:axId val="161211182"/>
      </c:lineChart>
      <c:catAx>
        <c:axId val="90779895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61211182"/>
        <c:crosses val="autoZero"/>
        <c:auto val="1"/>
        <c:lblAlgn val="ctr"/>
        <c:lblOffset val="100"/>
        <c:noMultiLvlLbl val="0"/>
      </c:catAx>
      <c:valAx>
        <c:axId val="16121118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0779895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5953569982454"/>
          <c:y val="0.888694385723536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92de28e-e4f7-402d-9c07-32966844cfe8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2260320021514"/>
          <c:y val="0.0572769953051643"/>
          <c:w val="0.900174801667339"/>
          <c:h val="0.6623474178403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[钛白板块基础计算表.xlsx]月度产量!$C$2</c:f>
              <c:strCache>
                <c:ptCount val="1"/>
                <c:pt idx="0">
                  <c:v>月度生产量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[钛白板块基础计算表.xlsx]月度产量!$B$3:$B$14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[钛白板块基础计算表.xlsx]月度产量!$C$3:$C$14</c:f>
              <c:numCache>
                <c:formatCode>General</c:formatCode>
                <c:ptCount val="12"/>
                <c:pt idx="0">
                  <c:v>41.28</c:v>
                </c:pt>
                <c:pt idx="1">
                  <c:v>39.92</c:v>
                </c:pt>
                <c:pt idx="2">
                  <c:v>43.56</c:v>
                </c:pt>
                <c:pt idx="3">
                  <c:v>40.93</c:v>
                </c:pt>
                <c:pt idx="4">
                  <c:v>39.06</c:v>
                </c:pt>
                <c:pt idx="5">
                  <c:v>36.64</c:v>
                </c:pt>
                <c:pt idx="6">
                  <c:v>37.41</c:v>
                </c:pt>
                <c:pt idx="7" c:formatCode="0.00_ ">
                  <c:v>39.08</c:v>
                </c:pt>
                <c:pt idx="8">
                  <c:v>40.35</c:v>
                </c:pt>
                <c:pt idx="9">
                  <c:v>39.72</c:v>
                </c:pt>
                <c:pt idx="10">
                  <c:v>40.31</c:v>
                </c:pt>
                <c:pt idx="11">
                  <c:v>42.47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62301824"/>
        <c:axId val="608735245"/>
      </c:barChart>
      <c:lineChart>
        <c:grouping val="standard"/>
        <c:varyColors val="0"/>
        <c:ser>
          <c:idx val="1"/>
          <c:order val="1"/>
          <c:tx>
            <c:strRef>
              <c:f>[钛白板块基础计算表.xlsx]月度产量!$D$2</c:f>
              <c:strCache>
                <c:ptCount val="1"/>
                <c:pt idx="0">
                  <c:v>月均产量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layout>
                <c:manualLayout>
                  <c:x val="0"/>
                  <c:y val="0.038194444444444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[钛白板块基础计算表.xlsx]月度产量!$B$3:$B$14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[钛白板块基础计算表.xlsx]月度产量!$D$3:$D$14</c:f>
              <c:numCache>
                <c:formatCode>General</c:formatCode>
                <c:ptCount val="12"/>
                <c:pt idx="0">
                  <c:v>40.06</c:v>
                </c:pt>
                <c:pt idx="1">
                  <c:v>40.06</c:v>
                </c:pt>
                <c:pt idx="2">
                  <c:v>40.06</c:v>
                </c:pt>
                <c:pt idx="3">
                  <c:v>40.06</c:v>
                </c:pt>
                <c:pt idx="4">
                  <c:v>40.06</c:v>
                </c:pt>
                <c:pt idx="5">
                  <c:v>40.06</c:v>
                </c:pt>
                <c:pt idx="6">
                  <c:v>40.06</c:v>
                </c:pt>
                <c:pt idx="7">
                  <c:v>40.06</c:v>
                </c:pt>
                <c:pt idx="8">
                  <c:v>40.06</c:v>
                </c:pt>
                <c:pt idx="9">
                  <c:v>40.06</c:v>
                </c:pt>
                <c:pt idx="10">
                  <c:v>40.06</c:v>
                </c:pt>
                <c:pt idx="11">
                  <c:v>40.06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962301824"/>
        <c:axId val="608735245"/>
      </c:lineChart>
      <c:catAx>
        <c:axId val="96230182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608735245"/>
        <c:crosses val="autoZero"/>
        <c:auto val="1"/>
        <c:lblAlgn val="ctr"/>
        <c:lblOffset val="100"/>
        <c:noMultiLvlLbl val="0"/>
      </c:catAx>
      <c:valAx>
        <c:axId val="60873524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962301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ayout>
        <c:manualLayout>
          <c:xMode val="edge"/>
          <c:yMode val="edge"/>
          <c:x val="0.296019900497512"/>
          <c:y val="0.860093896713614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黑体" panose="02010609060101010101" charset="-122"/>
              <a:ea typeface="黑体" panose="02010609060101010101" charset="-122"/>
              <a:cs typeface="黑体" panose="02010609060101010101" charset="-122"/>
              <a:sym typeface="黑体" panose="02010609060101010101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ea5d909-b5a7-4306-b32b-4f66dbb728a7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100">
          <a:latin typeface="黑体" panose="02010609060101010101" charset="-122"/>
          <a:ea typeface="黑体" panose="02010609060101010101" charset="-122"/>
          <a:cs typeface="黑体" panose="02010609060101010101" charset="-122"/>
          <a:sym typeface="黑体" panose="02010609060101010101" charset="-122"/>
        </a:defRPr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16176675491152"/>
          <c:y val="0.0616485800046179"/>
          <c:w val="0.814964469834193"/>
          <c:h val="0.6945278226737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[钛白板块基础计算表.xlsx]十四五产量!$A$4</c:f>
              <c:strCache>
                <c:ptCount val="1"/>
                <c:pt idx="0">
                  <c:v>总产量（万吨）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0.0532894736842105"/>
                  <c:y val="0.065972222222222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[钛白板块基础计算表.xlsx]十四五产量!$B$3:$F$3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[钛白板块基础计算表.xlsx]十四五产量!$B$4:$F$4</c:f>
              <c:numCache>
                <c:formatCode>General</c:formatCode>
                <c:ptCount val="5"/>
                <c:pt idx="0">
                  <c:v>379</c:v>
                </c:pt>
                <c:pt idx="1">
                  <c:v>391.4</c:v>
                </c:pt>
                <c:pt idx="2">
                  <c:v>420.34</c:v>
                </c:pt>
                <c:pt idx="3">
                  <c:v>485</c:v>
                </c:pt>
                <c:pt idx="4">
                  <c:v>480.73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63695338"/>
        <c:axId val="763030574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563695338"/>
        <c:axId val="763030574"/>
      </c:lineChart>
      <c:lineChart>
        <c:grouping val="standard"/>
        <c:varyColors val="0"/>
        <c:ser>
          <c:idx val="1"/>
          <c:order val="1"/>
          <c:tx>
            <c:strRef>
              <c:f>[钛白板块基础计算表.xlsx]十四五产量!$A$5</c:f>
              <c:strCache>
                <c:ptCount val="1"/>
                <c:pt idx="0">
                  <c:v>同比增长（%)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0.00197368421052632"/>
                  <c:y val="-0.010416666666666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04605263157895"/>
                  <c:y val="-0.03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789473684210526"/>
                  <c:y val="-0.03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[钛白板块基础计算表.xlsx]十四五产量!$B$3:$F$3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[钛白板块基础计算表.xlsx]十四五产量!$B$5:$F$5</c:f>
              <c:numCache>
                <c:formatCode>0.00%</c:formatCode>
                <c:ptCount val="5"/>
                <c:pt idx="0">
                  <c:v>0.0792</c:v>
                </c:pt>
                <c:pt idx="1">
                  <c:v>0.0327</c:v>
                </c:pt>
                <c:pt idx="2">
                  <c:v>0.0739</c:v>
                </c:pt>
                <c:pt idx="3">
                  <c:v>0.1538</c:v>
                </c:pt>
                <c:pt idx="4">
                  <c:v>-0.0089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[钛白板块基础计算表.xlsx]十四五产量!$A$6</c:f>
              <c:strCache>
                <c:ptCount val="1"/>
                <c:pt idx="0">
                  <c:v>年均增长（%）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[钛白板块基础计算表.xlsx]十四五产量!$B$3:$F$3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[钛白板块基础计算表.xlsx]十四五产量!$B$6:$F$6</c:f>
              <c:numCache>
                <c:formatCode>0.00%</c:formatCode>
                <c:ptCount val="5"/>
                <c:pt idx="0">
                  <c:v>0.0648</c:v>
                </c:pt>
                <c:pt idx="1">
                  <c:v>0.0648</c:v>
                </c:pt>
                <c:pt idx="2">
                  <c:v>0.0648</c:v>
                </c:pt>
                <c:pt idx="3">
                  <c:v>0.0648</c:v>
                </c:pt>
                <c:pt idx="4">
                  <c:v>0.0648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519738692"/>
        <c:axId val="237801463"/>
      </c:lineChart>
      <c:catAx>
        <c:axId val="56369533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763030574"/>
        <c:crosses val="autoZero"/>
        <c:auto val="1"/>
        <c:lblAlgn val="ctr"/>
        <c:lblOffset val="100"/>
        <c:noMultiLvlLbl val="0"/>
      </c:catAx>
      <c:valAx>
        <c:axId val="76303057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563695338"/>
        <c:crosses val="autoZero"/>
        <c:crossBetween val="between"/>
      </c:valAx>
      <c:catAx>
        <c:axId val="519738692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237801463"/>
        <c:crosses val="autoZero"/>
        <c:auto val="1"/>
        <c:lblAlgn val="ctr"/>
        <c:lblOffset val="100"/>
        <c:noMultiLvlLbl val="0"/>
      </c:catAx>
      <c:valAx>
        <c:axId val="237801463"/>
        <c:scaling>
          <c:orientation val="minMax"/>
        </c:scaling>
        <c:delete val="0"/>
        <c:axPos val="r"/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519738692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</c:legendEntry>
      <c:layout>
        <c:manualLayout>
          <c:xMode val="edge"/>
          <c:yMode val="edge"/>
          <c:x val="0.106905997227987"/>
          <c:y val="0.876195622429172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仿宋" panose="02010609060101010101" charset="-122"/>
              <a:ea typeface="仿宋" panose="02010609060101010101" charset="-122"/>
              <a:cs typeface="仿宋" panose="02010609060101010101" charset="-122"/>
              <a:sym typeface="仿宋" panose="02010609060101010101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916f85d-eb4f-4b11-93c9-3d5cd4fac580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 sz="1200">
          <a:latin typeface="仿宋" panose="02010609060101010101" charset="-122"/>
          <a:ea typeface="仿宋" panose="02010609060101010101" charset="-122"/>
          <a:cs typeface="仿宋" panose="02010609060101010101" charset="-122"/>
          <a:sym typeface="仿宋" panose="02010609060101010101" charset="-122"/>
        </a:defRPr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03260099220411"/>
          <c:y val="0.0602316602316602"/>
          <c:w val="0.835407512402551"/>
          <c:h val="0.6845302445302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[钛白板块基础计算表.xlsx]十四五产量!$A$11</c:f>
              <c:strCache>
                <c:ptCount val="1"/>
                <c:pt idx="0">
                  <c:v>氯化钛白产量（万吨）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0493421052631579"/>
                  <c:y val="0.097222222222222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[钛白板块基础计算表.xlsx]十四五产量!$B$10:$F$10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[钛白板块基础计算表.xlsx]十四五产量!$B$11:$F$11</c:f>
              <c:numCache>
                <c:formatCode>General</c:formatCode>
                <c:ptCount val="5"/>
                <c:pt idx="0">
                  <c:v>37.6</c:v>
                </c:pt>
                <c:pt idx="1">
                  <c:v>49.7</c:v>
                </c:pt>
                <c:pt idx="2">
                  <c:v>61.8</c:v>
                </c:pt>
                <c:pt idx="3">
                  <c:v>66.3</c:v>
                </c:pt>
                <c:pt idx="4">
                  <c:v>72.47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12093646"/>
        <c:axId val="655481611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812093646"/>
        <c:axId val="655481611"/>
      </c:lineChart>
      <c:lineChart>
        <c:grouping val="standard"/>
        <c:varyColors val="0"/>
        <c:ser>
          <c:idx val="1"/>
          <c:order val="1"/>
          <c:tx>
            <c:strRef>
              <c:f>[钛白板块基础计算表.xlsx]十四五产量!$A$12</c:f>
              <c:strCache>
                <c:ptCount val="1"/>
                <c:pt idx="0">
                  <c:v>同比增长（%)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[钛白板块基础计算表.xlsx]十四五产量!$B$10:$F$10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[钛白板块基础计算表.xlsx]十四五产量!$B$12:$F$12</c:f>
              <c:numCache>
                <c:formatCode>0.00%</c:formatCode>
                <c:ptCount val="5"/>
                <c:pt idx="0">
                  <c:v>0.1787</c:v>
                </c:pt>
                <c:pt idx="1">
                  <c:v>0.3218</c:v>
                </c:pt>
                <c:pt idx="2">
                  <c:v>0.2435</c:v>
                </c:pt>
                <c:pt idx="3">
                  <c:v>0.0728</c:v>
                </c:pt>
                <c:pt idx="4">
                  <c:v>0.0931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[钛白板块基础计算表.xlsx]十四五产量!$A$13</c:f>
              <c:strCache>
                <c:ptCount val="1"/>
                <c:pt idx="0">
                  <c:v>年均增长（%）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[钛白板块基础计算表.xlsx]十四五产量!$B$10:$F$10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[钛白板块基础计算表.xlsx]十四五产量!$B$13:$F$13</c:f>
              <c:numCache>
                <c:formatCode>0.00%</c:formatCode>
                <c:ptCount val="5"/>
                <c:pt idx="0">
                  <c:v>0.1783</c:v>
                </c:pt>
                <c:pt idx="1">
                  <c:v>0.1783</c:v>
                </c:pt>
                <c:pt idx="2">
                  <c:v>0.1783</c:v>
                </c:pt>
                <c:pt idx="3">
                  <c:v>0.1783</c:v>
                </c:pt>
                <c:pt idx="4">
                  <c:v>0.1783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286718447"/>
        <c:axId val="739813205"/>
      </c:lineChart>
      <c:catAx>
        <c:axId val="81209364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655481611"/>
        <c:crosses val="autoZero"/>
        <c:auto val="1"/>
        <c:lblAlgn val="ctr"/>
        <c:lblOffset val="100"/>
        <c:noMultiLvlLbl val="0"/>
      </c:catAx>
      <c:valAx>
        <c:axId val="6554816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812093646"/>
        <c:crosses val="autoZero"/>
        <c:crossBetween val="between"/>
      </c:valAx>
      <c:catAx>
        <c:axId val="286718447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739813205"/>
        <c:crosses val="autoZero"/>
        <c:auto val="1"/>
        <c:lblAlgn val="ctr"/>
        <c:lblOffset val="100"/>
        <c:noMultiLvlLbl val="0"/>
      </c:catAx>
      <c:valAx>
        <c:axId val="739813205"/>
        <c:scaling>
          <c:orientation val="minMax"/>
        </c:scaling>
        <c:delete val="0"/>
        <c:axPos val="r"/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286718447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ayout>
        <c:manualLayout>
          <c:xMode val="edge"/>
          <c:yMode val="edge"/>
          <c:x val="0.0955350815024802"/>
          <c:y val="0.884169884169884"/>
          <c:w val="0.794046775336641"/>
          <c:h val="0.0857142857142857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黑体" panose="02010609060101010101" charset="-122"/>
              <a:ea typeface="黑体" panose="02010609060101010101" charset="-122"/>
              <a:cs typeface="黑体" panose="02010609060101010101" charset="-122"/>
              <a:sym typeface="黑体" panose="02010609060101010101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8382adf-ee10-448a-aa89-4211b31e4b1f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latin typeface="黑体" panose="02010609060101010101" charset="-122"/>
          <a:ea typeface="黑体" panose="02010609060101010101" charset="-122"/>
          <a:cs typeface="黑体" panose="02010609060101010101" charset="-122"/>
          <a:sym typeface="黑体" panose="02010609060101010101" charset="-122"/>
        </a:defRPr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874705147773"/>
          <c:y val="0.0570515746234596"/>
          <c:w val="0.888219786318857"/>
          <c:h val="0.681287083523505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1457682"/>
        <c:axId val="523160476"/>
      </c:barChart>
      <c:lineChart>
        <c:grouping val="standard"/>
        <c:varyColors val="0"/>
        <c:ser>
          <c:idx val="0"/>
          <c:order val="0"/>
          <c:tx>
            <c:strRef>
              <c:f>[钛白板块基础计算表.xlsx]钛白粉进口!$A$4</c:f>
              <c:strCache>
                <c:ptCount val="1"/>
                <c:pt idx="0">
                  <c:v>进口总量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layout>
                <c:manualLayout>
                  <c:x val="-0.0710526315789474"/>
                  <c:y val="-0.013888888888888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611842105263158"/>
                  <c:y val="-0.03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493421052631579"/>
                  <c:y val="-0.0069444444444444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710526315789474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513157894736842"/>
                  <c:y val="-0.03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0651315789473684"/>
                  <c:y val="-0.052083333333333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0.0552631578947368"/>
                  <c:y val="-0.0069444444444444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0.0651315789473684"/>
                  <c:y val="-0.017361111111111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0.0513157894736842"/>
                  <c:y val="-0.0243055555555556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0.0572368421052632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0.0414473684210526"/>
                  <c:y val="0.0243055555555556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[钛白板块基础计算表.xlsx]钛白粉进口!$B$3:$N$3</c:f>
              <c:strCache>
                <c:ptCount val="13"/>
                <c:pt idx="1">
                  <c:v>1月</c:v>
                </c:pt>
                <c:pt idx="2">
                  <c:v>2月</c:v>
                </c:pt>
                <c:pt idx="3">
                  <c:v>3月</c:v>
                </c:pt>
                <c:pt idx="4">
                  <c:v>4月</c:v>
                </c:pt>
                <c:pt idx="5">
                  <c:v>5月</c:v>
                </c:pt>
                <c:pt idx="6">
                  <c:v>6月</c:v>
                </c:pt>
                <c:pt idx="7">
                  <c:v>7月</c:v>
                </c:pt>
                <c:pt idx="8">
                  <c:v>8月</c:v>
                </c:pt>
                <c:pt idx="9">
                  <c:v>9月</c:v>
                </c:pt>
                <c:pt idx="10">
                  <c:v>10月</c:v>
                </c:pt>
                <c:pt idx="11">
                  <c:v>11月</c:v>
                </c:pt>
                <c:pt idx="12">
                  <c:v>12月</c:v>
                </c:pt>
              </c:strCache>
            </c:strRef>
          </c:cat>
          <c:val>
            <c:numRef>
              <c:f>[钛白板块基础计算表.xlsx]钛白粉进口!$B$4:$N$4</c:f>
              <c:numCache>
                <c:formatCode>General</c:formatCode>
                <c:ptCount val="13"/>
                <c:pt idx="1">
                  <c:v>7304.89</c:v>
                </c:pt>
                <c:pt idx="2">
                  <c:v>5201.02</c:v>
                </c:pt>
                <c:pt idx="3">
                  <c:v>8280.86</c:v>
                </c:pt>
                <c:pt idx="4">
                  <c:v>6587.73</c:v>
                </c:pt>
                <c:pt idx="5">
                  <c:v>7467.59</c:v>
                </c:pt>
                <c:pt idx="6">
                  <c:v>4888.46</c:v>
                </c:pt>
                <c:pt idx="7">
                  <c:v>7307.17</c:v>
                </c:pt>
                <c:pt idx="8">
                  <c:v>3431.18</c:v>
                </c:pt>
                <c:pt idx="9">
                  <c:v>6382.35</c:v>
                </c:pt>
                <c:pt idx="10">
                  <c:v>5644.56</c:v>
                </c:pt>
                <c:pt idx="11">
                  <c:v>5341.22</c:v>
                </c:pt>
                <c:pt idx="12">
                  <c:v>6691.21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[钛白板块基础计算表.xlsx]钛白粉进口!$A$5</c:f>
              <c:strCache>
                <c:ptCount val="1"/>
                <c:pt idx="0">
                  <c:v>氯化钛白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layout>
                <c:manualLayout>
                  <c:x val="-0.0611842105263158"/>
                  <c:y val="-0.0034722222222222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651315789473684"/>
                  <c:y val="0.010416666666666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631578947368421"/>
                  <c:y val="0.020833333333333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532894736842105"/>
                  <c:y val="0.03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651315789473684"/>
                  <c:y val="-0.03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0414473684210526"/>
                  <c:y val="0.0243055555555556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0.0631578947368421"/>
                  <c:y val="0.038194444444444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0.0552631578947368"/>
                  <c:y val="0.027777777777777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0.0473684210526316"/>
                  <c:y val="0.020833333333333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0.0552631578947368"/>
                  <c:y val="0.045138888888888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0.0710526315789474"/>
                  <c:y val="-0.013888888888888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0"/>
                  <c:y val="0.027777777777777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[钛白板块基础计算表.xlsx]钛白粉进口!$B$3:$N$3</c:f>
              <c:strCache>
                <c:ptCount val="13"/>
                <c:pt idx="1">
                  <c:v>1月</c:v>
                </c:pt>
                <c:pt idx="2">
                  <c:v>2月</c:v>
                </c:pt>
                <c:pt idx="3">
                  <c:v>3月</c:v>
                </c:pt>
                <c:pt idx="4">
                  <c:v>4月</c:v>
                </c:pt>
                <c:pt idx="5">
                  <c:v>5月</c:v>
                </c:pt>
                <c:pt idx="6">
                  <c:v>6月</c:v>
                </c:pt>
                <c:pt idx="7">
                  <c:v>7月</c:v>
                </c:pt>
                <c:pt idx="8">
                  <c:v>8月</c:v>
                </c:pt>
                <c:pt idx="9">
                  <c:v>9月</c:v>
                </c:pt>
                <c:pt idx="10">
                  <c:v>10月</c:v>
                </c:pt>
                <c:pt idx="11">
                  <c:v>11月</c:v>
                </c:pt>
                <c:pt idx="12">
                  <c:v>12月</c:v>
                </c:pt>
              </c:strCache>
            </c:strRef>
          </c:cat>
          <c:val>
            <c:numRef>
              <c:f>[钛白板块基础计算表.xlsx]钛白粉进口!$B$5:$N$5</c:f>
              <c:numCache>
                <c:formatCode>General</c:formatCode>
                <c:ptCount val="13"/>
                <c:pt idx="1">
                  <c:v>4645.14</c:v>
                </c:pt>
                <c:pt idx="2">
                  <c:v>2693.07</c:v>
                </c:pt>
                <c:pt idx="3">
                  <c:v>4619.14</c:v>
                </c:pt>
                <c:pt idx="4">
                  <c:v>3858.16</c:v>
                </c:pt>
                <c:pt idx="5">
                  <c:v>4232.19</c:v>
                </c:pt>
                <c:pt idx="6">
                  <c:v>3504.32</c:v>
                </c:pt>
                <c:pt idx="7">
                  <c:v>5309.92</c:v>
                </c:pt>
                <c:pt idx="8">
                  <c:v>1877.1</c:v>
                </c:pt>
                <c:pt idx="9">
                  <c:v>3451.56</c:v>
                </c:pt>
                <c:pt idx="10">
                  <c:v>2795.48</c:v>
                </c:pt>
                <c:pt idx="11">
                  <c:v>3833.87</c:v>
                </c:pt>
                <c:pt idx="12">
                  <c:v>3549.67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641457682"/>
        <c:axId val="523160476"/>
      </c:lineChart>
      <c:catAx>
        <c:axId val="64145768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23160476"/>
        <c:crosses val="autoZero"/>
        <c:auto val="1"/>
        <c:lblAlgn val="ctr"/>
        <c:lblOffset val="100"/>
        <c:noMultiLvlLbl val="0"/>
      </c:catAx>
      <c:valAx>
        <c:axId val="5231604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4145768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9467613723499"/>
          <c:y val="0.860858816369999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11b26d0-9b3d-4143-beaa-30f37bc004f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9059754594922"/>
          <c:y val="0.126487438481546"/>
          <c:w val="0.494700139470014"/>
          <c:h val="0.759854327335047"/>
        </c:manualLayout>
      </c:layout>
      <c:pieChart>
        <c:varyColors val="1"/>
        <c:ser>
          <c:idx val="0"/>
          <c:order val="0"/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ea typeface="+mn-ea"/>
                      </a:rPr>
                      <a:t>墨西哥</a:t>
                    </a:r>
                    <a:endParaRPr>
                      <a:latin typeface="+mn-ea"/>
                      <a:ea typeface="+mn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34.00%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35425383542538"/>
                      <c:h val="0.197520883858798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0.0412831241283125"/>
                  <c:y val="-0.0113588279454922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ea typeface="+mn-ea"/>
                      </a:rPr>
                      <a:t>澳大利亚</a:t>
                    </a:r>
                    <a:endParaRPr>
                      <a:latin typeface="+mn-ea"/>
                      <a:ea typeface="+mn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20.26%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49093444909344"/>
                      <c:h val="0.147566371681416"/>
                    </c:manualLayout>
                  </c15:layout>
                </c:ext>
              </c:extLst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日本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15.08%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20641562064156"/>
                      <c:h val="0.184316895715441"/>
                    </c:manualLayout>
                  </c15:layout>
                </c:ext>
              </c:extLst>
            </c:dLbl>
            <c:dLbl>
              <c:idx val="3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美国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12.74%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16178521617852"/>
                      <c:h val="0.18350848827809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0.0864972280328432"/>
                  <c:y val="0.0393528761061947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德国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6.39%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1534170153417"/>
                      <c:h val="0.157079646017699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-0.0805754876060149"/>
                  <c:y val="0.0100446428571429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英国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5.60%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14783821478382"/>
                      <c:h val="0.169226623551603"/>
                    </c:manualLayout>
                  </c15:layout>
                </c:ext>
              </c:extLst>
            </c:dLbl>
            <c:dLbl>
              <c:idx val="6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ea typeface="+mn-ea"/>
                      </a:rPr>
                      <a:t>马来西亚</a:t>
                    </a:r>
                    <a:endParaRPr>
                      <a:latin typeface="+mn-ea"/>
                      <a:ea typeface="+mn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3.68%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.141292457696763"/>
                  <c:y val="0.00572455752212389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ea typeface="+mn-ea"/>
                      </a:rPr>
                      <a:t>其他国家</a:t>
                    </a:r>
                    <a:endParaRPr>
                      <a:latin typeface="+mn-ea"/>
                      <a:ea typeface="+mn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仿宋" panose="02010609060101010101" charset="-122"/>
                        <a:ea typeface="仿宋" panose="02010609060101010101" charset="-122"/>
                        <a:cs typeface="仿宋" panose="02010609060101010101" charset="-122"/>
                        <a:sym typeface="仿宋" panose="02010609060101010101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2.25%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57740585774059"/>
                      <c:h val="0.16599299380221"/>
                    </c:manualLayout>
                  </c15:layout>
                </c:ext>
              </c:extLst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 forceAA="0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[钛白板块基础计算表.xlsx]钛白粉进口!$C$8:$J$8</c:f>
              <c:strCache>
                <c:ptCount val="8"/>
                <c:pt idx="0">
                  <c:v>墨西哥</c:v>
                </c:pt>
                <c:pt idx="1">
                  <c:v>澳大利亚</c:v>
                </c:pt>
                <c:pt idx="2">
                  <c:v>日本</c:v>
                </c:pt>
                <c:pt idx="3">
                  <c:v>美国</c:v>
                </c:pt>
                <c:pt idx="4">
                  <c:v>德国</c:v>
                </c:pt>
                <c:pt idx="5">
                  <c:v>英国</c:v>
                </c:pt>
                <c:pt idx="6">
                  <c:v>马来西亚</c:v>
                </c:pt>
                <c:pt idx="7">
                  <c:v>其他国家</c:v>
                </c:pt>
              </c:strCache>
            </c:strRef>
          </c:cat>
          <c:val>
            <c:numRef>
              <c:f>[钛白板块基础计算表.xlsx]钛白粉进口!$C$9:$J$9</c:f>
              <c:numCache>
                <c:formatCode>0.00%</c:formatCode>
                <c:ptCount val="8"/>
                <c:pt idx="0">
                  <c:v>0.34</c:v>
                </c:pt>
                <c:pt idx="1">
                  <c:v>0.2026</c:v>
                </c:pt>
                <c:pt idx="2">
                  <c:v>0.1508</c:v>
                </c:pt>
                <c:pt idx="3">
                  <c:v>0.1274</c:v>
                </c:pt>
                <c:pt idx="4">
                  <c:v>0.0639</c:v>
                </c:pt>
                <c:pt idx="5">
                  <c:v>0.056</c:v>
                </c:pt>
                <c:pt idx="6">
                  <c:v>0.0368</c:v>
                </c:pt>
                <c:pt idx="7">
                  <c:v>0.0225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b07ebdd2-433f-497e-ad8e-961568cc268d}"/>
      </c:ext>
    </c:extLst>
  </c:chart>
  <c:spPr>
    <a:solidFill>
      <a:schemeClr val="bg1"/>
    </a:solidFill>
    <a:ln w="6350" cap="flat" cmpd="sng" algn="ctr">
      <a:noFill/>
      <a:round/>
    </a:ln>
    <a:effectLst/>
  </c:spPr>
  <c:txPr>
    <a:bodyPr/>
    <a:lstStyle/>
    <a:p>
      <a:pPr>
        <a:defRPr lang="zh-CN">
          <a:latin typeface="仿宋" panose="02010609060101010101" charset="-122"/>
          <a:ea typeface="仿宋" panose="02010609060101010101" charset="-122"/>
          <a:cs typeface="仿宋" panose="02010609060101010101" charset="-122"/>
          <a:sym typeface="仿宋" panose="02010609060101010101" charset="-122"/>
        </a:defRPr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29023150762281"/>
          <c:y val="0.0855543113101904"/>
          <c:w val="0.906041784302654"/>
          <c:h val="0.6874356103023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[钛白板块基础计算表.xlsx]钛白粉出口!$A$4</c:f>
              <c:strCache>
                <c:ptCount val="1"/>
                <c:pt idx="0">
                  <c:v>出口总量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0.0169395821569735"/>
                  <c:y val="0.0033594624860022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0.010078387458006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"/>
                  <c:y val="0.016797312430011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.00182992065143096"/>
                  <c:y val="0.018714227945750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0.00168615709233557"/>
                  <c:y val="0.028567095931317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0.00269250200600313"/>
                  <c:y val="-0.032015988552942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0.00125486641504952"/>
                  <c:y val="0.031926558417319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0.00466618621652948"/>
                  <c:y val="-0.0012170274978226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0.00437865909833869"/>
                  <c:y val="-0.0067189249720044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[钛白板块基础计算表.xlsx]钛白粉出口!$B$3:$N$3</c:f>
              <c:strCache>
                <c:ptCount val="13"/>
                <c:pt idx="1">
                  <c:v>1月</c:v>
                </c:pt>
                <c:pt idx="2">
                  <c:v>2月</c:v>
                </c:pt>
                <c:pt idx="3">
                  <c:v>3月</c:v>
                </c:pt>
                <c:pt idx="4">
                  <c:v>4月</c:v>
                </c:pt>
                <c:pt idx="5">
                  <c:v>5月</c:v>
                </c:pt>
                <c:pt idx="6">
                  <c:v>6月</c:v>
                </c:pt>
                <c:pt idx="7">
                  <c:v>7月</c:v>
                </c:pt>
                <c:pt idx="8">
                  <c:v>8月</c:v>
                </c:pt>
                <c:pt idx="9">
                  <c:v>9月</c:v>
                </c:pt>
                <c:pt idx="10">
                  <c:v>10月</c:v>
                </c:pt>
                <c:pt idx="11">
                  <c:v>11月</c:v>
                </c:pt>
                <c:pt idx="12">
                  <c:v>12月</c:v>
                </c:pt>
              </c:strCache>
            </c:strRef>
          </c:cat>
          <c:val>
            <c:numRef>
              <c:f>[钛白板块基础计算表.xlsx]钛白粉出口!$B$4:$N$4</c:f>
              <c:numCache>
                <c:formatCode>General</c:formatCode>
                <c:ptCount val="13"/>
                <c:pt idx="1">
                  <c:v>15.85</c:v>
                </c:pt>
                <c:pt idx="2">
                  <c:v>15.75</c:v>
                </c:pt>
                <c:pt idx="3">
                  <c:v>18.5</c:v>
                </c:pt>
                <c:pt idx="4">
                  <c:v>14.8</c:v>
                </c:pt>
                <c:pt idx="5">
                  <c:v>13.56</c:v>
                </c:pt>
                <c:pt idx="6">
                  <c:v>13.19</c:v>
                </c:pt>
                <c:pt idx="7">
                  <c:v>13.48</c:v>
                </c:pt>
                <c:pt idx="8">
                  <c:v>13.88</c:v>
                </c:pt>
                <c:pt idx="9">
                  <c:v>15.63</c:v>
                </c:pt>
                <c:pt idx="10">
                  <c:v>14.64</c:v>
                </c:pt>
                <c:pt idx="11">
                  <c:v>15.22</c:v>
                </c:pt>
                <c:pt idx="12">
                  <c:v>17.19</c:v>
                </c:pt>
              </c:numCache>
            </c:numRef>
          </c:val>
        </c:ser>
        <c:ser>
          <c:idx val="2"/>
          <c:order val="2"/>
          <c:tx>
            <c:strRef>
              <c:f>[钛白板块基础计算表.xlsx]钛白粉出口!$A$6</c:f>
              <c:strCache>
                <c:ptCount val="1"/>
                <c:pt idx="0">
                  <c:v>氯化钛白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.00423489553924337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0.0148221343873518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0.0150433208826658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[钛白板块基础计算表.xlsx]钛白粉出口!$B$3:$N$3</c:f>
              <c:strCache>
                <c:ptCount val="13"/>
                <c:pt idx="1">
                  <c:v>1月</c:v>
                </c:pt>
                <c:pt idx="2">
                  <c:v>2月</c:v>
                </c:pt>
                <c:pt idx="3">
                  <c:v>3月</c:v>
                </c:pt>
                <c:pt idx="4">
                  <c:v>4月</c:v>
                </c:pt>
                <c:pt idx="5">
                  <c:v>5月</c:v>
                </c:pt>
                <c:pt idx="6">
                  <c:v>6月</c:v>
                </c:pt>
                <c:pt idx="7">
                  <c:v>7月</c:v>
                </c:pt>
                <c:pt idx="8">
                  <c:v>8月</c:v>
                </c:pt>
                <c:pt idx="9">
                  <c:v>9月</c:v>
                </c:pt>
                <c:pt idx="10">
                  <c:v>10月</c:v>
                </c:pt>
                <c:pt idx="11">
                  <c:v>11月</c:v>
                </c:pt>
                <c:pt idx="12">
                  <c:v>12月</c:v>
                </c:pt>
              </c:strCache>
            </c:strRef>
          </c:cat>
          <c:val>
            <c:numRef>
              <c:f>[钛白板块基础计算表.xlsx]钛白粉出口!$B$6:$N$6</c:f>
              <c:numCache>
                <c:formatCode>General</c:formatCode>
                <c:ptCount val="13"/>
                <c:pt idx="1">
                  <c:v>2.87</c:v>
                </c:pt>
                <c:pt idx="2">
                  <c:v>2.97</c:v>
                </c:pt>
                <c:pt idx="3">
                  <c:v>3.91</c:v>
                </c:pt>
                <c:pt idx="4">
                  <c:v>3.04</c:v>
                </c:pt>
                <c:pt idx="5">
                  <c:v>2.49</c:v>
                </c:pt>
                <c:pt idx="6">
                  <c:v>2.44</c:v>
                </c:pt>
                <c:pt idx="7">
                  <c:v>2.45</c:v>
                </c:pt>
                <c:pt idx="8">
                  <c:v>2.5</c:v>
                </c:pt>
                <c:pt idx="9">
                  <c:v>2.88</c:v>
                </c:pt>
                <c:pt idx="10">
                  <c:v>3.23</c:v>
                </c:pt>
                <c:pt idx="11">
                  <c:v>3.45</c:v>
                </c:pt>
                <c:pt idx="12">
                  <c:v>4.42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69166774"/>
        <c:axId val="365407144"/>
      </c:barChart>
      <c:lineChart>
        <c:grouping val="standard"/>
        <c:varyColors val="0"/>
        <c:ser>
          <c:idx val="1"/>
          <c:order val="1"/>
          <c:tx>
            <c:strRef>
              <c:f>[钛白板块基础计算表.xlsx]钛白粉出口!$A$5</c:f>
              <c:strCache>
                <c:ptCount val="1"/>
                <c:pt idx="0">
                  <c:v>总量月均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黑体" panose="02010609060101010101" charset="-122"/>
                    <a:ea typeface="黑体" panose="02010609060101010101" charset="-122"/>
                    <a:cs typeface="黑体" panose="02010609060101010101" charset="-122"/>
                    <a:sym typeface="黑体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[钛白板块基础计算表.xlsx]钛白粉出口!$B$3:$N$3</c:f>
              <c:strCache>
                <c:ptCount val="13"/>
                <c:pt idx="1">
                  <c:v>1月</c:v>
                </c:pt>
                <c:pt idx="2">
                  <c:v>2月</c:v>
                </c:pt>
                <c:pt idx="3">
                  <c:v>3月</c:v>
                </c:pt>
                <c:pt idx="4">
                  <c:v>4月</c:v>
                </c:pt>
                <c:pt idx="5">
                  <c:v>5月</c:v>
                </c:pt>
                <c:pt idx="6">
                  <c:v>6月</c:v>
                </c:pt>
                <c:pt idx="7">
                  <c:v>7月</c:v>
                </c:pt>
                <c:pt idx="8">
                  <c:v>8月</c:v>
                </c:pt>
                <c:pt idx="9">
                  <c:v>9月</c:v>
                </c:pt>
                <c:pt idx="10">
                  <c:v>10月</c:v>
                </c:pt>
                <c:pt idx="11">
                  <c:v>11月</c:v>
                </c:pt>
                <c:pt idx="12">
                  <c:v>12月</c:v>
                </c:pt>
              </c:strCache>
            </c:strRef>
          </c:cat>
          <c:val>
            <c:numRef>
              <c:f>[钛白板块基础计算表.xlsx]钛白粉出口!$B$5:$N$5</c:f>
              <c:numCache>
                <c:formatCode>General</c:formatCode>
                <c:ptCount val="13"/>
                <c:pt idx="1">
                  <c:v>15.14</c:v>
                </c:pt>
                <c:pt idx="2">
                  <c:v>15.14</c:v>
                </c:pt>
                <c:pt idx="3">
                  <c:v>15.14</c:v>
                </c:pt>
                <c:pt idx="4">
                  <c:v>15.14</c:v>
                </c:pt>
                <c:pt idx="5">
                  <c:v>15.14</c:v>
                </c:pt>
                <c:pt idx="6">
                  <c:v>15.14</c:v>
                </c:pt>
                <c:pt idx="7">
                  <c:v>15.14</c:v>
                </c:pt>
                <c:pt idx="8">
                  <c:v>15.14</c:v>
                </c:pt>
                <c:pt idx="9">
                  <c:v>15.14</c:v>
                </c:pt>
                <c:pt idx="10">
                  <c:v>15.14</c:v>
                </c:pt>
                <c:pt idx="11">
                  <c:v>15.14</c:v>
                </c:pt>
                <c:pt idx="12">
                  <c:v>15.14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669166774"/>
        <c:axId val="365407144"/>
      </c:lineChart>
      <c:catAx>
        <c:axId val="66916677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365407144"/>
        <c:crosses val="autoZero"/>
        <c:auto val="1"/>
        <c:lblAlgn val="ctr"/>
        <c:lblOffset val="100"/>
        <c:noMultiLvlLbl val="0"/>
      </c:catAx>
      <c:valAx>
        <c:axId val="365407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  <c:crossAx val="66916677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  <a:sym typeface="黑体" panose="02010609060101010101" charset="-122"/>
              </a:defRPr>
            </a:pPr>
          </a:p>
        </c:txPr>
      </c:legendEntry>
      <c:layout>
        <c:manualLayout>
          <c:xMode val="edge"/>
          <c:yMode val="edge"/>
          <c:x val="0.231225296442688"/>
          <c:y val="0.873460246360582"/>
          <c:w val="0.532608695652174"/>
          <c:h val="0.0972004479283315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黑体" panose="02010609060101010101" charset="-122"/>
              <a:ea typeface="黑体" panose="02010609060101010101" charset="-122"/>
              <a:cs typeface="黑体" panose="02010609060101010101" charset="-122"/>
              <a:sym typeface="黑体" panose="02010609060101010101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0af4621-3fc5-451d-b3e7-bc706d7a8ab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>
          <a:latin typeface="黑体" panose="02010609060101010101" charset="-122"/>
          <a:ea typeface="黑体" panose="02010609060101010101" charset="-122"/>
          <a:cs typeface="黑体" panose="02010609060101010101" charset="-122"/>
          <a:sym typeface="黑体" panose="02010609060101010101" charset="-122"/>
        </a:defRPr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00210138764789"/>
          <c:y val="0.0660881174899866"/>
          <c:w val="0.411842105263158"/>
          <c:h val="0.696484201157098"/>
        </c:manualLayout>
      </c:layout>
      <c:pieChart>
        <c:varyColors val="1"/>
        <c:ser>
          <c:idx val="0"/>
          <c:order val="0"/>
          <c:tx>
            <c:strRef>
              <c:f>[钛白板块基础计算表.xlsx]钛白粉出口!$A$11</c:f>
              <c:strCache>
                <c:ptCount val="1"/>
                <c:pt idx="0">
                  <c:v>占比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1"/>
              <c:layout>
                <c:manualLayout>
                  <c:x val="0.0282894736842106"/>
                  <c:y val="-5.81339935168828e-18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印度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14.17%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8815789473684"/>
                      <c:h val="0.149723869912047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0.0364473684210526"/>
                  <c:y val="0.00215975205108976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土耳其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6.60%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5789473684211"/>
                      <c:h val="0.133769687052567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0.0248684210526315"/>
                  <c:y val="-0.0186934671939275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越南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5.68%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63157894736842"/>
                      <c:h val="0.128935185185185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0.026578947368421"/>
                  <c:y val="-0.0372587222811905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韩国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5.13%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57631578947368"/>
                      <c:h val="0.140724074452853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0.025921052631579"/>
                  <c:y val="-0.0325873275607372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印度尼西亚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4.59%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25921052631579"/>
                      <c:h val="0.128935185185185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0.0769736842105267"/>
                  <c:y val="0.0107188512737692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阿联酋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4.05%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7631578947368"/>
                      <c:h val="0.128935185185185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0.0818421052631574"/>
                  <c:y val="0.0463153813937823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巴西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3.85%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60789473684211"/>
                      <c:h val="0.128935185185185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0.0263157894736844"/>
                  <c:y val="0.0683166291675189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泰国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3.53%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51052631578947"/>
                      <c:h val="0.128935185185185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0.0150083882779284"/>
                  <c:y val="0.0442344040876071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埃及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3.40%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32894736842105"/>
                      <c:h val="0.133974227858458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0.0875"/>
                  <c:y val="0.00674984659439558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俄罗斯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3.32%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44342105263158"/>
                      <c:h val="0.179791368377991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0.131426673568268"/>
                  <c:y val="-0.0495691859275926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 forceAA="0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马来西亚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3.03%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44078947368421"/>
                      <c:h val="0.153610145223972"/>
                    </c:manualLayout>
                  </c15:layout>
                </c:ext>
              </c:extLst>
            </c:dLbl>
            <c:dLbl>
              <c:idx val="1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j-ea"/>
                        <a:ea typeface="+mj-ea"/>
                      </a:rPr>
                      <a:t>其他国家</a:t>
                    </a:r>
                    <a:endParaRPr>
                      <a:latin typeface="+mj-ea"/>
                      <a:ea typeface="+mj-ea"/>
                    </a:endParaRPr>
                  </a:p>
                  <a:p>
                    <a:pPr defTabSz="914400">
                      <a:defRPr lang="zh-CN"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微软雅黑" panose="020B0503020204020204" pitchFamily="2" charset="-122"/>
                        <a:ea typeface="微软雅黑" panose="020B0503020204020204" pitchFamily="2" charset="-122"/>
                        <a:cs typeface="微软雅黑" panose="020B0503020204020204" pitchFamily="2" charset="-122"/>
                        <a:sym typeface="微软雅黑" panose="020B0503020204020204" pitchFamily="2" charset="-122"/>
                      </a:defRPr>
                    </a:pPr>
                    <a:r>
                      <a:rPr>
                        <a:latin typeface="+mn-ea"/>
                        <a:cs typeface="+mn-ea"/>
                      </a:rPr>
                      <a:t>42.65%</a:t>
                    </a:r>
                    <a:endParaRPr>
                      <a:latin typeface="+mn-ea"/>
                      <a:cs typeface="+mn-ea"/>
                    </a:endParaRP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 forceAA="0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微软雅黑" panose="020B0503020204020204" pitchFamily="2" charset="-122"/>
                    <a:sym typeface="微软雅黑" panose="020B0503020204020204" pitchFamily="2" charset="-122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[钛白板块基础计算表.xlsx]钛白粉出口!$B$10:$N$10</c:f>
              <c:strCache>
                <c:ptCount val="13"/>
                <c:pt idx="1">
                  <c:v>印度</c:v>
                </c:pt>
                <c:pt idx="2">
                  <c:v>土耳其</c:v>
                </c:pt>
                <c:pt idx="3">
                  <c:v>越南</c:v>
                </c:pt>
                <c:pt idx="4">
                  <c:v>韩国</c:v>
                </c:pt>
                <c:pt idx="5">
                  <c:v>印度尼西亚</c:v>
                </c:pt>
                <c:pt idx="6">
                  <c:v>阿联酋</c:v>
                </c:pt>
                <c:pt idx="7">
                  <c:v>巴西</c:v>
                </c:pt>
                <c:pt idx="8">
                  <c:v>泰国</c:v>
                </c:pt>
                <c:pt idx="9">
                  <c:v>埃及</c:v>
                </c:pt>
                <c:pt idx="10">
                  <c:v>俄罗斯</c:v>
                </c:pt>
                <c:pt idx="11">
                  <c:v>马来西亚</c:v>
                </c:pt>
                <c:pt idx="12">
                  <c:v>其他国家</c:v>
                </c:pt>
              </c:strCache>
            </c:strRef>
          </c:cat>
          <c:val>
            <c:numRef>
              <c:f>[钛白板块基础计算表.xlsx]钛白粉出口!$B$11:$N$11</c:f>
              <c:numCache>
                <c:formatCode>General</c:formatCode>
                <c:ptCount val="13"/>
                <c:pt idx="1" c:formatCode="0.00%">
                  <c:v>0.1417</c:v>
                </c:pt>
                <c:pt idx="2" c:formatCode="0.00%">
                  <c:v>0.066</c:v>
                </c:pt>
                <c:pt idx="3" c:formatCode="0.00%">
                  <c:v>0.0568</c:v>
                </c:pt>
                <c:pt idx="4" c:formatCode="0.00%">
                  <c:v>0.0513</c:v>
                </c:pt>
                <c:pt idx="5" c:formatCode="0.00%">
                  <c:v>0.0459</c:v>
                </c:pt>
                <c:pt idx="6" c:formatCode="0.00%">
                  <c:v>0.0405</c:v>
                </c:pt>
                <c:pt idx="7" c:formatCode="0.00%">
                  <c:v>0.0385</c:v>
                </c:pt>
                <c:pt idx="8" c:formatCode="0.00%">
                  <c:v>0.0353</c:v>
                </c:pt>
                <c:pt idx="9" c:formatCode="0.00%">
                  <c:v>0.034</c:v>
                </c:pt>
                <c:pt idx="10" c:formatCode="0.00%">
                  <c:v>0.0332</c:v>
                </c:pt>
                <c:pt idx="11" c:formatCode="0.00%">
                  <c:v>0.0303</c:v>
                </c:pt>
                <c:pt idx="12" c:formatCode="0.00%">
                  <c:v>0.4265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7be0f091-1556-40b8-86bc-b4b593c49892}"/>
      </c:ext>
    </c:extLst>
  </c:chart>
  <c:spPr>
    <a:solidFill>
      <a:schemeClr val="bg1"/>
    </a:solidFill>
    <a:ln w="6350" cap="flat" cmpd="sng" algn="ctr">
      <a:noFill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  <a:cs typeface="微软雅黑" panose="020B0503020204020204" pitchFamily="2" charset="-122"/>
          <a:sym typeface="微软雅黑" panose="020B0503020204020204" pitchFamily="2" charset="-122"/>
        </a:defRPr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23273518216422"/>
          <c:y val="0.0840444789242307"/>
          <c:w val="0.817672648178358"/>
          <c:h val="0.677372640289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'[钛白板块基础计算表.xlsx]2025表观消费'!$B$9</c:f>
              <c:strCache>
                <c:ptCount val="1"/>
                <c:pt idx="0">
                  <c:v>表观消费量（万吨）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-0.0278329898972554"/>
                  <c:y val="0.029730734419446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'[钛白板块基础计算表.xlsx]2025表观消费'!$C$8:$G$8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'[钛白板块基础计算表.xlsx]2025表观消费'!$C$9:$G$9</c:f>
              <c:numCache>
                <c:formatCode>General</c:formatCode>
                <c:ptCount val="5"/>
                <c:pt idx="0">
                  <c:v>267.02</c:v>
                </c:pt>
                <c:pt idx="1">
                  <c:v>263.1</c:v>
                </c:pt>
                <c:pt idx="2">
                  <c:v>264.55</c:v>
                </c:pt>
                <c:pt idx="3">
                  <c:v>304.12</c:v>
                </c:pt>
                <c:pt idx="4">
                  <c:v>306.49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48076878"/>
        <c:axId val="70841319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248076878"/>
        <c:axId val="70841319"/>
      </c:lineChart>
      <c:lineChart>
        <c:grouping val="standard"/>
        <c:varyColors val="0"/>
        <c:ser>
          <c:idx val="1"/>
          <c:order val="1"/>
          <c:tx>
            <c:strRef>
              <c:f>'[钛白板块基础计算表.xlsx]2025表观消费'!$B$10</c:f>
              <c:strCache>
                <c:ptCount val="1"/>
                <c:pt idx="0">
                  <c:v>同比增长（%）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layout>
                <c:manualLayout>
                  <c:x val="-0.00394736842105263"/>
                  <c:y val="-0.045138888888888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'[钛白板块基础计算表.xlsx]2025表观消费'!$C$8:$G$8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'[钛白板块基础计算表.xlsx]2025表观消费'!$C$10:$G$10</c:f>
              <c:numCache>
                <c:formatCode>0.00%</c:formatCode>
                <c:ptCount val="5"/>
                <c:pt idx="0">
                  <c:v>0.0828</c:v>
                </c:pt>
                <c:pt idx="1">
                  <c:v>-0.0147</c:v>
                </c:pt>
                <c:pt idx="2">
                  <c:v>0.0055</c:v>
                </c:pt>
                <c:pt idx="3">
                  <c:v>0.1496</c:v>
                </c:pt>
                <c:pt idx="4">
                  <c:v>0.0078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'[钛白板块基础计算表.xlsx]2025表观消费'!$B$11</c:f>
              <c:strCache>
                <c:ptCount val="1"/>
                <c:pt idx="0">
                  <c:v>年均增长（%）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仿宋" panose="02010609060101010101" charset="-122"/>
                    <a:ea typeface="仿宋" panose="02010609060101010101" charset="-122"/>
                    <a:cs typeface="仿宋" panose="02010609060101010101" charset="-122"/>
                    <a:sym typeface="仿宋" panose="02010609060101010101" charset="-122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'[钛白板块基础计算表.xlsx]2025表观消费'!$C$8:$G$8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'[钛白板块基础计算表.xlsx]2025表观消费'!$C$11:$G$11</c:f>
              <c:numCache>
                <c:formatCode>0.00%</c:formatCode>
                <c:ptCount val="5"/>
                <c:pt idx="0">
                  <c:v>0.0444</c:v>
                </c:pt>
                <c:pt idx="1">
                  <c:v>0.0444</c:v>
                </c:pt>
                <c:pt idx="2">
                  <c:v>0.0444</c:v>
                </c:pt>
                <c:pt idx="3">
                  <c:v>0.0444</c:v>
                </c:pt>
                <c:pt idx="4">
                  <c:v>0.0444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452743852"/>
        <c:axId val="399365377"/>
      </c:lineChart>
      <c:catAx>
        <c:axId val="24807687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70841319"/>
        <c:crosses val="autoZero"/>
        <c:auto val="1"/>
        <c:lblAlgn val="ctr"/>
        <c:lblOffset val="100"/>
        <c:noMultiLvlLbl val="0"/>
      </c:catAx>
      <c:valAx>
        <c:axId val="708413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248076878"/>
        <c:crosses val="autoZero"/>
        <c:crossBetween val="between"/>
      </c:valAx>
      <c:catAx>
        <c:axId val="452743852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399365377"/>
        <c:crosses val="autoZero"/>
        <c:auto val="1"/>
        <c:lblAlgn val="ctr"/>
        <c:lblOffset val="100"/>
        <c:noMultiLvlLbl val="0"/>
      </c:catAx>
      <c:valAx>
        <c:axId val="399365377"/>
        <c:scaling>
          <c:orientation val="minMax"/>
        </c:scaling>
        <c:delete val="0"/>
        <c:axPos val="r"/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  <c:crossAx val="452743852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仿宋" panose="02010609060101010101" charset="-122"/>
                <a:ea typeface="仿宋" panose="02010609060101010101" charset="-122"/>
                <a:cs typeface="仿宋" panose="02010609060101010101" charset="-122"/>
                <a:sym typeface="仿宋" panose="02010609060101010101" charset="-122"/>
              </a:defRPr>
            </a:pPr>
          </a:p>
        </c:txPr>
      </c:legendEntry>
      <c:layout>
        <c:manualLayout>
          <c:xMode val="edge"/>
          <c:yMode val="edge"/>
          <c:x val="0.108958673191953"/>
          <c:y val="0.895779306255777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仿宋" panose="02010609060101010101" charset="-122"/>
              <a:ea typeface="仿宋" panose="02010609060101010101" charset="-122"/>
              <a:cs typeface="仿宋" panose="02010609060101010101" charset="-122"/>
              <a:sym typeface="仿宋" panose="02010609060101010101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0054417-a9a5-4c0f-91b6-dd3cea15b883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>
          <a:latin typeface="仿宋" panose="02010609060101010101" charset="-122"/>
          <a:ea typeface="仿宋" panose="02010609060101010101" charset="-122"/>
          <a:cs typeface="仿宋" panose="02010609060101010101" charset="-122"/>
          <a:sym typeface="仿宋" panose="02010609060101010101" charset="-122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10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10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10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10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WPS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874CB"/>
    </a:accent1>
    <a:accent2>
      <a:srgbClr val="EE822F"/>
    </a:accent2>
    <a:accent3>
      <a:srgbClr val="F2BA02"/>
    </a:accent3>
    <a:accent4>
      <a:srgbClr val="75BD42"/>
    </a:accent4>
    <a:accent5>
      <a:srgbClr val="30C0B4"/>
    </a:accent5>
    <a:accent6>
      <a:srgbClr val="E54C5E"/>
    </a:accent6>
    <a:hlink>
      <a:srgbClr val="0026E5"/>
    </a:hlink>
    <a:folHlink>
      <a:srgbClr val="7E1FAD"/>
    </a:folHlink>
  </a:clrScheme>
  <a:fontScheme name="WPS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WPS">
    <a:fillStyleLst>
      <a:solidFill>
        <a:schemeClr val="phClr"/>
      </a:solidFill>
      <a:gradFill>
        <a:gsLst>
          <a:gs pos="0">
            <a:schemeClr val="phClr">
              <a:lumOff val="17500"/>
            </a:schemeClr>
          </a:gs>
          <a:gs pos="100000">
            <a:schemeClr val="phClr"/>
          </a:gs>
        </a:gsLst>
        <a:lin ang="2700000" scaled="0"/>
      </a:gradFill>
      <a:gradFill>
        <a:gsLst>
          <a:gs pos="0">
            <a:schemeClr val="phClr">
              <a:hueOff val="-2520000"/>
            </a:schemeClr>
          </a:gs>
          <a:gs pos="100000">
            <a:schemeClr val="phClr"/>
          </a:gs>
        </a:gsLst>
        <a:lin ang="27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gradFill>
          <a:gsLst>
            <a:gs pos="0">
              <a:schemeClr val="phClr">
                <a:hueOff val="-4200000"/>
              </a:schemeClr>
            </a:gs>
            <a:gs pos="100000">
              <a:schemeClr val="phClr"/>
            </a:gs>
          </a:gsLst>
          <a:lin ang="2700000" scaled="1"/>
        </a:gradFill>
        <a:prstDash val="solid"/>
        <a:miter lim="800000"/>
      </a:ln>
    </a:lnStyleLst>
    <a:effectStyleLst>
      <a:effectStyle>
        <a:effectLst>
          <a:outerShdw blurRad="101600" dist="50800" dir="5400000" algn="ctr" rotWithShape="0">
            <a:schemeClr val="phClr">
              <a:alpha val="60000"/>
            </a:schemeClr>
          </a:outerShdw>
        </a:effectLst>
      </a:effectStyle>
      <a:effectStyle>
        <a:effectLst>
          <a:reflection stA="50000" endA="300" endPos="40000" dist="25400" dir="5400000" sy="-100000" algn="bl" rotWithShape="0"/>
        </a:effectLst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WPS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874CB"/>
    </a:accent1>
    <a:accent2>
      <a:srgbClr val="EE822F"/>
    </a:accent2>
    <a:accent3>
      <a:srgbClr val="F2BA02"/>
    </a:accent3>
    <a:accent4>
      <a:srgbClr val="75BD42"/>
    </a:accent4>
    <a:accent5>
      <a:srgbClr val="30C0B4"/>
    </a:accent5>
    <a:accent6>
      <a:srgbClr val="E54C5E"/>
    </a:accent6>
    <a:hlink>
      <a:srgbClr val="0026E5"/>
    </a:hlink>
    <a:folHlink>
      <a:srgbClr val="7E1FAD"/>
    </a:folHlink>
  </a:clrScheme>
  <a:fontScheme name="WPS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WPS">
    <a:fillStyleLst>
      <a:solidFill>
        <a:schemeClr val="phClr"/>
      </a:solidFill>
      <a:gradFill>
        <a:gsLst>
          <a:gs pos="0">
            <a:schemeClr val="phClr">
              <a:lumOff val="17500"/>
            </a:schemeClr>
          </a:gs>
          <a:gs pos="100000">
            <a:schemeClr val="phClr"/>
          </a:gs>
        </a:gsLst>
        <a:lin ang="2700000" scaled="0"/>
      </a:gradFill>
      <a:gradFill>
        <a:gsLst>
          <a:gs pos="0">
            <a:schemeClr val="phClr">
              <a:hueOff val="-2520000"/>
            </a:schemeClr>
          </a:gs>
          <a:gs pos="100000">
            <a:schemeClr val="phClr"/>
          </a:gs>
        </a:gsLst>
        <a:lin ang="27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gradFill>
          <a:gsLst>
            <a:gs pos="0">
              <a:schemeClr val="phClr">
                <a:hueOff val="-4200000"/>
              </a:schemeClr>
            </a:gs>
            <a:gs pos="100000">
              <a:schemeClr val="phClr"/>
            </a:gs>
          </a:gsLst>
          <a:lin ang="2700000" scaled="1"/>
        </a:gradFill>
        <a:prstDash val="solid"/>
        <a:miter lim="800000"/>
      </a:ln>
    </a:lnStyleLst>
    <a:effectStyleLst>
      <a:effectStyle>
        <a:effectLst>
          <a:outerShdw blurRad="101600" dist="50800" dir="5400000" algn="ctr" rotWithShape="0">
            <a:schemeClr val="phClr">
              <a:alpha val="60000"/>
            </a:schemeClr>
          </a:outerShdw>
        </a:effectLst>
      </a:effectStyle>
      <a:effectStyle>
        <a:effectLst>
          <a:reflection stA="50000" endA="300" endPos="40000" dist="25400" dir="5400000" sy="-100000" algn="bl" rotWithShape="0"/>
        </a:effectLst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WPS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874CB"/>
    </a:accent1>
    <a:accent2>
      <a:srgbClr val="EE822F"/>
    </a:accent2>
    <a:accent3>
      <a:srgbClr val="F2BA02"/>
    </a:accent3>
    <a:accent4>
      <a:srgbClr val="75BD42"/>
    </a:accent4>
    <a:accent5>
      <a:srgbClr val="30C0B4"/>
    </a:accent5>
    <a:accent6>
      <a:srgbClr val="E54C5E"/>
    </a:accent6>
    <a:hlink>
      <a:srgbClr val="0026E5"/>
    </a:hlink>
    <a:folHlink>
      <a:srgbClr val="7E1FAD"/>
    </a:folHlink>
  </a:clrScheme>
  <a:fontScheme name="WPS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WPS">
    <a:fillStyleLst>
      <a:solidFill>
        <a:schemeClr val="phClr"/>
      </a:solidFill>
      <a:gradFill>
        <a:gsLst>
          <a:gs pos="0">
            <a:schemeClr val="phClr">
              <a:lumOff val="17500"/>
            </a:schemeClr>
          </a:gs>
          <a:gs pos="100000">
            <a:schemeClr val="phClr"/>
          </a:gs>
        </a:gsLst>
        <a:lin ang="2700000" scaled="0"/>
      </a:gradFill>
      <a:gradFill>
        <a:gsLst>
          <a:gs pos="0">
            <a:schemeClr val="phClr">
              <a:hueOff val="-2520000"/>
            </a:schemeClr>
          </a:gs>
          <a:gs pos="100000">
            <a:schemeClr val="phClr"/>
          </a:gs>
        </a:gsLst>
        <a:lin ang="27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gradFill>
          <a:gsLst>
            <a:gs pos="0">
              <a:schemeClr val="phClr">
                <a:hueOff val="-4200000"/>
              </a:schemeClr>
            </a:gs>
            <a:gs pos="100000">
              <a:schemeClr val="phClr"/>
            </a:gs>
          </a:gsLst>
          <a:lin ang="2700000" scaled="1"/>
        </a:gradFill>
        <a:prstDash val="solid"/>
        <a:miter lim="800000"/>
      </a:ln>
    </a:lnStyleLst>
    <a:effectStyleLst>
      <a:effectStyle>
        <a:effectLst>
          <a:outerShdw blurRad="101600" dist="50800" dir="5400000" algn="ctr" rotWithShape="0">
            <a:schemeClr val="phClr">
              <a:alpha val="60000"/>
            </a:schemeClr>
          </a:outerShdw>
        </a:effectLst>
      </a:effectStyle>
      <a:effectStyle>
        <a:effectLst>
          <a:reflection stA="50000" endA="300" endPos="40000" dist="25400" dir="5400000" sy="-100000" algn="bl" rotWithShape="0"/>
        </a:effectLst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WPS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874CB"/>
    </a:accent1>
    <a:accent2>
      <a:srgbClr val="EE822F"/>
    </a:accent2>
    <a:accent3>
      <a:srgbClr val="F2BA02"/>
    </a:accent3>
    <a:accent4>
      <a:srgbClr val="75BD42"/>
    </a:accent4>
    <a:accent5>
      <a:srgbClr val="30C0B4"/>
    </a:accent5>
    <a:accent6>
      <a:srgbClr val="E54C5E"/>
    </a:accent6>
    <a:hlink>
      <a:srgbClr val="0026E5"/>
    </a:hlink>
    <a:folHlink>
      <a:srgbClr val="7E1FAD"/>
    </a:folHlink>
  </a:clrScheme>
  <a:fontScheme name="WPS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WPS">
    <a:fillStyleLst>
      <a:solidFill>
        <a:schemeClr val="phClr"/>
      </a:solidFill>
      <a:gradFill>
        <a:gsLst>
          <a:gs pos="0">
            <a:schemeClr val="phClr">
              <a:lumOff val="17500"/>
            </a:schemeClr>
          </a:gs>
          <a:gs pos="100000">
            <a:schemeClr val="phClr"/>
          </a:gs>
        </a:gsLst>
        <a:lin ang="2700000" scaled="0"/>
      </a:gradFill>
      <a:gradFill>
        <a:gsLst>
          <a:gs pos="0">
            <a:schemeClr val="phClr">
              <a:hueOff val="-2520000"/>
            </a:schemeClr>
          </a:gs>
          <a:gs pos="100000">
            <a:schemeClr val="phClr"/>
          </a:gs>
        </a:gsLst>
        <a:lin ang="27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gradFill>
          <a:gsLst>
            <a:gs pos="0">
              <a:schemeClr val="phClr">
                <a:hueOff val="-4200000"/>
              </a:schemeClr>
            </a:gs>
            <a:gs pos="100000">
              <a:schemeClr val="phClr"/>
            </a:gs>
          </a:gsLst>
          <a:lin ang="2700000" scaled="1"/>
        </a:gradFill>
        <a:prstDash val="solid"/>
        <a:miter lim="800000"/>
      </a:ln>
    </a:lnStyleLst>
    <a:effectStyleLst>
      <a:effectStyle>
        <a:effectLst>
          <a:outerShdw blurRad="101600" dist="50800" dir="5400000" algn="ctr" rotWithShape="0">
            <a:schemeClr val="phClr">
              <a:alpha val="60000"/>
            </a:schemeClr>
          </a:outerShdw>
        </a:effectLst>
      </a:effectStyle>
      <a:effectStyle>
        <a:effectLst>
          <a:reflection stA="50000" endA="300" endPos="40000" dist="25400" dir="5400000" sy="-100000" algn="bl" rotWithShape="0"/>
        </a:effectLst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WPS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874CB"/>
    </a:accent1>
    <a:accent2>
      <a:srgbClr val="EE822F"/>
    </a:accent2>
    <a:accent3>
      <a:srgbClr val="F2BA02"/>
    </a:accent3>
    <a:accent4>
      <a:srgbClr val="75BD42"/>
    </a:accent4>
    <a:accent5>
      <a:srgbClr val="30C0B4"/>
    </a:accent5>
    <a:accent6>
      <a:srgbClr val="E54C5E"/>
    </a:accent6>
    <a:hlink>
      <a:srgbClr val="0026E5"/>
    </a:hlink>
    <a:folHlink>
      <a:srgbClr val="7E1FAD"/>
    </a:folHlink>
  </a:clrScheme>
  <a:fontScheme name="WPS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WPS">
    <a:fillStyleLst>
      <a:solidFill>
        <a:schemeClr val="phClr"/>
      </a:solidFill>
      <a:gradFill>
        <a:gsLst>
          <a:gs pos="0">
            <a:schemeClr val="phClr">
              <a:lumOff val="17500"/>
            </a:schemeClr>
          </a:gs>
          <a:gs pos="100000">
            <a:schemeClr val="phClr"/>
          </a:gs>
        </a:gsLst>
        <a:lin ang="2700000" scaled="0"/>
      </a:gradFill>
      <a:gradFill>
        <a:gsLst>
          <a:gs pos="0">
            <a:schemeClr val="phClr">
              <a:hueOff val="-2520000"/>
            </a:schemeClr>
          </a:gs>
          <a:gs pos="100000">
            <a:schemeClr val="phClr"/>
          </a:gs>
        </a:gsLst>
        <a:lin ang="27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gradFill>
          <a:gsLst>
            <a:gs pos="0">
              <a:schemeClr val="phClr">
                <a:hueOff val="-4200000"/>
              </a:schemeClr>
            </a:gs>
            <a:gs pos="100000">
              <a:schemeClr val="phClr"/>
            </a:gs>
          </a:gsLst>
          <a:lin ang="2700000" scaled="1"/>
        </a:gradFill>
        <a:prstDash val="solid"/>
        <a:miter lim="800000"/>
      </a:ln>
    </a:lnStyleLst>
    <a:effectStyleLst>
      <a:effectStyle>
        <a:effectLst>
          <a:outerShdw blurRad="101600" dist="50800" dir="5400000" algn="ctr" rotWithShape="0">
            <a:schemeClr val="phClr">
              <a:alpha val="60000"/>
            </a:schemeClr>
          </a:outerShdw>
        </a:effectLst>
      </a:effectStyle>
      <a:effectStyle>
        <a:effectLst>
          <a:reflection stA="50000" endA="300" endPos="40000" dist="25400" dir="5400000" sy="-100000" algn="bl" rotWithShape="0"/>
        </a:effectLst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339</Words>
  <Characters>352</Characters>
  <Lines>35</Lines>
  <Paragraphs>9</Paragraphs>
  <TotalTime>15</TotalTime>
  <ScaleCrop>false</ScaleCrop>
  <LinksUpToDate>false</LinksUpToDate>
  <CharactersWithSpaces>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2026-06-09T08:00:07Z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