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5B130696">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fldChar w:fldCharType="begin">
          <w:fldData xml:space="preserve">ZQBKAHoAdABYAFEAMQAwAFYATgBXAGQAdgAyADkAbQBNAGoATwA1AEIAQQBrAEoAYwBHAEoAaQA3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</w:fldData>
        </w:fldChar>
      </w:r>
      <w:r>
        <w:rPr>
          <w:rFonts w:hint="eastAsia" w:ascii="隶书" w:hAnsi="隶书" w:eastAsia="隶书" w:cs="隶书"/>
          <w:lang w:val="en-US" w:eastAsia="zh-CN"/>
        </w:rPr>
        <w:instrText xml:space="preserve">ADDIN CNKISM.UserStyle</w:instrText>
      </w:r>
      <w:r>
        <w:rPr>
          <w:rFonts w:hint="eastAsia" w:ascii="隶书" w:hAnsi="隶书" w:eastAsia="隶书" w:cs="隶书"/>
          <w:lang w:val="en-US" w:eastAsia="zh-CN"/>
        </w:rPr>
        <w:fldChar w:fldCharType="separate"/>
      </w:r>
      <w:r>
        <w:rPr>
          <w:rFonts w:hint="eastAsia" w:ascii="隶书" w:hAnsi="隶书" w:eastAsia="隶书" w:cs="隶书"/>
          <w:lang w:val="en-US" w:eastAsia="zh-CN"/>
        </w:rPr>
        <w:fldChar w:fldCharType="end"/>
      </w:r>
      <w:r>
        <w:rPr>
          <w:rFonts w:hint="eastAsia" w:ascii="隶书" w:hAnsi="隶书" w:eastAsia="隶书" w:cs="隶书"/>
          <w:lang w:val="en-US" w:eastAsia="zh-CN"/>
        </w:rPr>
        <w:t>“双碳”目标下磷铵产品碳足迹核算方法</w:t>
      </w:r>
    </w:p>
    <w:p w14:paraId="5A3EEAF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bookmarkStart w:id="54" w:name="_GoBack"/>
      <w:bookmarkEnd w:id="54"/>
      <w:r>
        <w:rPr>
          <w:rFonts w:hint="eastAsia" w:ascii="隶书" w:hAnsi="隶书" w:eastAsia="隶书" w:cs="隶书"/>
          <w:lang w:val="en-US" w:eastAsia="zh-CN"/>
        </w:rPr>
        <w:t>研究与标准实践</w:t>
      </w:r>
    </w:p>
    <w:p w14:paraId="2607AF25">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崔荣政 王臣 修学峰</w:t>
      </w:r>
    </w:p>
    <w:p w14:paraId="7436E53E">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中国磷复肥工业协会</w:t>
      </w:r>
    </w:p>
    <w:p w14:paraId="5091998C">
      <w:pPr>
        <w:rPr>
          <w:rFonts w:hint="default" w:ascii="Segoe UI" w:hAnsi="Segoe UI" w:eastAsia="Segoe UI" w:cs="Segoe UI"/>
          <w:i w:val="0"/>
          <w:iCs w:val="0"/>
          <w:caps w:val="0"/>
          <w:color w:val="0F1115"/>
          <w:spacing w:val="0"/>
          <w:shd w:val="clear" w:fill="FFFFFF"/>
        </w:rPr>
      </w:pPr>
    </w:p>
    <w:p w14:paraId="01EE9FF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lang w:val="en-US" w:eastAsia="zh-CN"/>
        </w:rPr>
      </w:pPr>
      <w:r>
        <w:rPr>
          <w:rFonts w:hint="eastAsia" w:ascii="宋体" w:hAnsi="宋体" w:eastAsia="宋体" w:cs="宋体"/>
          <w:b/>
          <w:bCs/>
          <w:lang w:val="en-US" w:eastAsia="zh-CN"/>
        </w:rPr>
        <w:t>摘要：</w:t>
      </w:r>
      <w:r>
        <w:rPr>
          <w:rFonts w:hint="eastAsia" w:ascii="宋体" w:hAnsi="宋体" w:eastAsia="宋体" w:cs="宋体"/>
          <w:b w:val="0"/>
          <w:bCs w:val="0"/>
          <w:lang w:val="en-US" w:eastAsia="zh-CN"/>
        </w:rPr>
        <w:t>磷铵是磷肥的核心品种，其生产过程中的温室气体排放是磷化工行业碳排放的重要组成部分。在国家“双碳”战略目标指引下，建立科学统一的磷铵产品碳足迹量化方法，对于推动磷复肥行业绿色低碳转型、提升产品国际竞争力具有重要意义。本文系统分析了磷铵产品碳足迹核算的方法框架，涵盖量化目的、系统边界、清单分析、数据质量要求及影响评价等核心环节；梳理了国家碳足迹核算通则标准、地方标准、团体标准等多层级标准体系的建设进展；阐述了由中国磷复肥工业协会牵头的《温室气体 产品碳足迹量化方法与要求 磷铵》团体标准的编制思路与核心内容，并结合行业实践对标准应用前景进行了展望。</w:t>
      </w:r>
    </w:p>
    <w:p w14:paraId="5A5F9A7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lang w:val="en-US" w:eastAsia="zh-CN"/>
        </w:rPr>
      </w:pPr>
      <w:r>
        <w:rPr>
          <w:rFonts w:hint="eastAsia" w:ascii="宋体" w:hAnsi="宋体" w:eastAsia="宋体" w:cs="宋体"/>
          <w:b/>
          <w:bCs/>
          <w:lang w:val="en-US" w:eastAsia="zh-CN"/>
        </w:rPr>
        <w:t>关键词：</w:t>
      </w:r>
      <w:r>
        <w:rPr>
          <w:rFonts w:hint="eastAsia" w:ascii="宋体" w:hAnsi="宋体" w:eastAsia="宋体" w:cs="宋体"/>
          <w:b w:val="0"/>
          <w:bCs w:val="0"/>
          <w:lang w:val="en-US" w:eastAsia="zh-CN"/>
        </w:rPr>
        <w:t>“双碳” 磷铵 碳足迹 核算方法</w:t>
      </w:r>
      <w:bookmarkStart w:id="0" w:name="_Toc20496"/>
      <w:bookmarkStart w:id="1" w:name="_Toc19289"/>
      <w:bookmarkStart w:id="2" w:name="_Toc28999"/>
    </w:p>
    <w:p w14:paraId="4723F03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default" w:ascii="宋体" w:hAnsi="宋体" w:eastAsia="宋体" w:cs="宋体"/>
          <w:b/>
          <w:bCs/>
          <w:lang w:val="en-US" w:eastAsia="zh-CN"/>
        </w:rPr>
      </w:pPr>
    </w:p>
    <w:p w14:paraId="3D9D895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0 引言</w:t>
      </w:r>
      <w:bookmarkEnd w:id="0"/>
      <w:bookmarkEnd w:id="1"/>
      <w:bookmarkEnd w:id="2"/>
    </w:p>
    <w:p w14:paraId="334B9412">
      <w:pPr>
        <w:pStyle w:val="7"/>
        <w:pageBreakBefore w:val="0"/>
        <w:widowControl/>
        <w:kinsoku/>
        <w:wordWrap/>
        <w:overflowPunct/>
        <w:topLinePunct w:val="0"/>
        <w:autoSpaceDE/>
        <w:autoSpaceDN/>
        <w:bidi w:val="0"/>
        <w:spacing w:after="0" w:afterLines="0"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rPr>
        <w:t>随着全球气候变化问题日益严峻，碳达峰碳中和已成为世界各国共同追求的发展目标。2020年，我国明确提出2030年前实现碳达峰、2060年前实现碳中和的战略目标，标志着经济社会发展全面绿色转型进入新阶段。2024年，生态环境部等15部委联合发布《关于建立碳足迹管理体系的实施方案》，明确提出到2027年制定出台100个左右重点产品碳足迹核算规则标准，加快构建我国产品碳足迹管理体系。</w:t>
      </w:r>
    </w:p>
    <w:p w14:paraId="295D5FB9">
      <w:pPr>
        <w:pStyle w:val="7"/>
        <w:pageBreakBefore w:val="0"/>
        <w:widowControl/>
        <w:kinsoku/>
        <w:wordWrap/>
        <w:overflowPunct/>
        <w:topLinePunct w:val="0"/>
        <w:autoSpaceDE/>
        <w:autoSpaceDN/>
        <w:bidi w:val="0"/>
        <w:spacing w:after="0" w:afterLines="0"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rPr>
        <w:t>磷铵是磷酸一铵和磷酸二铵的统称，是以磷矿、硫酸和液氨为主要原料经化学反应制得的高浓度氮磷复合肥料。作为磷肥的核心品种，磷铵在保障国家粮食安全中发挥着不可替代的作用。我国磷铵产业规模巨大，产量稳居世界前列，据统计，2024年我国磷肥总产能约2200万吨</w:t>
      </w:r>
      <w:r>
        <w:rPr>
          <w:rFonts w:hint="eastAsia" w:ascii="宋体" w:hAnsi="宋体" w:eastAsia="宋体" w:cs="宋体"/>
          <w:i w:val="0"/>
          <w:color w:val="0F1115"/>
          <w:sz w:val="21"/>
          <w:szCs w:val="21"/>
          <w:lang w:val="en-US" w:eastAsia="zh-CN"/>
        </w:rPr>
        <w:t>P</w:t>
      </w:r>
      <w:r>
        <w:rPr>
          <w:rFonts w:hint="eastAsia" w:ascii="宋体" w:hAnsi="宋体" w:eastAsia="宋体" w:cs="宋体"/>
          <w:i w:val="0"/>
          <w:color w:val="0F1115"/>
          <w:sz w:val="21"/>
          <w:szCs w:val="21"/>
          <w:vertAlign w:val="subscript"/>
          <w:lang w:val="en-US" w:eastAsia="zh-CN"/>
        </w:rPr>
        <w:t>2</w:t>
      </w:r>
      <w:r>
        <w:rPr>
          <w:rFonts w:hint="eastAsia" w:ascii="宋体" w:hAnsi="宋体" w:eastAsia="宋体" w:cs="宋体"/>
          <w:i w:val="0"/>
          <w:color w:val="0F1115"/>
          <w:sz w:val="21"/>
          <w:szCs w:val="21"/>
          <w:lang w:val="en-US" w:eastAsia="zh-CN"/>
        </w:rPr>
        <w:t>O</w:t>
      </w:r>
      <w:r>
        <w:rPr>
          <w:rFonts w:hint="eastAsia" w:ascii="宋体" w:hAnsi="宋体" w:eastAsia="宋体" w:cs="宋体"/>
          <w:i w:val="0"/>
          <w:color w:val="0F1115"/>
          <w:sz w:val="21"/>
          <w:szCs w:val="21"/>
          <w:vertAlign w:val="subscript"/>
          <w:lang w:val="en-US" w:eastAsia="zh-CN"/>
        </w:rPr>
        <w:t>5</w:t>
      </w:r>
      <w:r>
        <w:rPr>
          <w:rFonts w:hint="eastAsia" w:ascii="宋体" w:hAnsi="宋体" w:eastAsia="宋体" w:cs="宋体"/>
          <w:i w:val="0"/>
          <w:color w:val="0F1115"/>
          <w:sz w:val="21"/>
          <w:szCs w:val="21"/>
        </w:rPr>
        <w:t>/年</w:t>
      </w:r>
      <w:r>
        <w:rPr>
          <w:rFonts w:hint="eastAsia" w:ascii="宋体" w:hAnsi="宋体" w:eastAsia="宋体" w:cs="宋体"/>
          <w:i w:val="0"/>
          <w:color w:val="0F1115"/>
          <w:sz w:val="21"/>
          <w:szCs w:val="21"/>
          <w:lang w:eastAsia="zh-CN"/>
        </w:rPr>
        <w:t>，</w:t>
      </w:r>
      <w:r>
        <w:rPr>
          <w:rFonts w:hint="eastAsia" w:ascii="宋体" w:hAnsi="宋体" w:eastAsia="宋体" w:cs="宋体"/>
          <w:i w:val="0"/>
          <w:color w:val="0F1115"/>
          <w:sz w:val="21"/>
          <w:szCs w:val="21"/>
          <w:lang w:val="en-US" w:eastAsia="zh-CN"/>
        </w:rPr>
        <w:t>产量1782.3</w:t>
      </w:r>
      <w:r>
        <w:rPr>
          <w:rFonts w:hint="eastAsia" w:ascii="宋体" w:hAnsi="宋体" w:eastAsia="宋体" w:cs="宋体"/>
          <w:i w:val="0"/>
          <w:color w:val="0F1115"/>
          <w:sz w:val="21"/>
          <w:szCs w:val="21"/>
        </w:rPr>
        <w:t>万吨</w:t>
      </w:r>
      <w:r>
        <w:rPr>
          <w:rFonts w:hint="eastAsia" w:ascii="宋体" w:hAnsi="宋体" w:eastAsia="宋体" w:cs="宋体"/>
          <w:i w:val="0"/>
          <w:color w:val="0F1115"/>
          <w:sz w:val="21"/>
          <w:szCs w:val="21"/>
          <w:lang w:val="en-US" w:eastAsia="zh-CN"/>
        </w:rPr>
        <w:t>P</w:t>
      </w:r>
      <w:r>
        <w:rPr>
          <w:rFonts w:hint="eastAsia" w:ascii="宋体" w:hAnsi="宋体" w:eastAsia="宋体" w:cs="宋体"/>
          <w:i w:val="0"/>
          <w:color w:val="0F1115"/>
          <w:sz w:val="21"/>
          <w:szCs w:val="21"/>
          <w:vertAlign w:val="subscript"/>
          <w:lang w:val="en-US" w:eastAsia="zh-CN"/>
        </w:rPr>
        <w:t>2</w:t>
      </w:r>
      <w:r>
        <w:rPr>
          <w:rFonts w:hint="eastAsia" w:ascii="宋体" w:hAnsi="宋体" w:eastAsia="宋体" w:cs="宋体"/>
          <w:i w:val="0"/>
          <w:color w:val="0F1115"/>
          <w:sz w:val="21"/>
          <w:szCs w:val="21"/>
          <w:lang w:val="en-US" w:eastAsia="zh-CN"/>
        </w:rPr>
        <w:t>O</w:t>
      </w:r>
      <w:r>
        <w:rPr>
          <w:rFonts w:hint="eastAsia" w:ascii="宋体" w:hAnsi="宋体" w:eastAsia="宋体" w:cs="宋体"/>
          <w:i w:val="0"/>
          <w:color w:val="0F1115"/>
          <w:sz w:val="21"/>
          <w:szCs w:val="21"/>
          <w:vertAlign w:val="subscript"/>
          <w:lang w:val="en-US" w:eastAsia="zh-CN"/>
        </w:rPr>
        <w:t>5</w:t>
      </w:r>
      <w:r>
        <w:rPr>
          <w:rFonts w:hint="eastAsia" w:ascii="宋体" w:hAnsi="宋体" w:eastAsia="宋体" w:cs="宋体"/>
          <w:i w:val="0"/>
          <w:color w:val="0F1115"/>
          <w:sz w:val="21"/>
          <w:szCs w:val="21"/>
          <w:vertAlign w:val="baseline"/>
          <w:lang w:val="en-US" w:eastAsia="zh-CN"/>
        </w:rPr>
        <w:t>，其中</w:t>
      </w:r>
      <w:r>
        <w:rPr>
          <w:rFonts w:hint="eastAsia" w:ascii="宋体" w:hAnsi="宋体" w:eastAsia="宋体" w:cs="宋体"/>
          <w:i w:val="0"/>
          <w:color w:val="0F1115"/>
          <w:sz w:val="21"/>
          <w:szCs w:val="21"/>
        </w:rPr>
        <w:t>磷酸一铵产量达</w:t>
      </w:r>
      <w:r>
        <w:rPr>
          <w:rFonts w:hint="eastAsia" w:ascii="宋体" w:hAnsi="宋体" w:eastAsia="宋体" w:cs="宋体"/>
          <w:i w:val="0"/>
          <w:color w:val="0F1115"/>
          <w:sz w:val="21"/>
          <w:szCs w:val="21"/>
          <w:lang w:val="en-US" w:eastAsia="zh-CN"/>
        </w:rPr>
        <w:t>844.6</w:t>
      </w:r>
      <w:r>
        <w:rPr>
          <w:rFonts w:hint="eastAsia" w:ascii="宋体" w:hAnsi="宋体" w:eastAsia="宋体" w:cs="宋体"/>
          <w:i w:val="0"/>
          <w:color w:val="0F1115"/>
          <w:sz w:val="21"/>
          <w:szCs w:val="21"/>
        </w:rPr>
        <w:t>万吨</w:t>
      </w:r>
      <w:r>
        <w:rPr>
          <w:rFonts w:hint="eastAsia" w:ascii="宋体" w:hAnsi="宋体" w:eastAsia="宋体" w:cs="宋体"/>
          <w:i w:val="0"/>
          <w:color w:val="0F1115"/>
          <w:sz w:val="21"/>
          <w:szCs w:val="21"/>
          <w:lang w:val="en-US" w:eastAsia="zh-CN"/>
        </w:rPr>
        <w:t>P</w:t>
      </w:r>
      <w:r>
        <w:rPr>
          <w:rFonts w:hint="eastAsia" w:ascii="宋体" w:hAnsi="宋体" w:eastAsia="宋体" w:cs="宋体"/>
          <w:i w:val="0"/>
          <w:color w:val="0F1115"/>
          <w:sz w:val="21"/>
          <w:szCs w:val="21"/>
          <w:vertAlign w:val="subscript"/>
          <w:lang w:val="en-US" w:eastAsia="zh-CN"/>
        </w:rPr>
        <w:t>2</w:t>
      </w:r>
      <w:r>
        <w:rPr>
          <w:rFonts w:hint="eastAsia" w:ascii="宋体" w:hAnsi="宋体" w:eastAsia="宋体" w:cs="宋体"/>
          <w:i w:val="0"/>
          <w:color w:val="0F1115"/>
          <w:sz w:val="21"/>
          <w:szCs w:val="21"/>
          <w:lang w:val="en-US" w:eastAsia="zh-CN"/>
        </w:rPr>
        <w:t>O</w:t>
      </w:r>
      <w:r>
        <w:rPr>
          <w:rFonts w:hint="eastAsia" w:ascii="宋体" w:hAnsi="宋体" w:eastAsia="宋体" w:cs="宋体"/>
          <w:i w:val="0"/>
          <w:color w:val="0F1115"/>
          <w:sz w:val="21"/>
          <w:szCs w:val="21"/>
          <w:vertAlign w:val="subscript"/>
          <w:lang w:val="en-US" w:eastAsia="zh-CN"/>
        </w:rPr>
        <w:t>5</w:t>
      </w:r>
      <w:r>
        <w:rPr>
          <w:rFonts w:hint="eastAsia" w:ascii="宋体" w:hAnsi="宋体" w:eastAsia="宋体" w:cs="宋体"/>
          <w:i w:val="0"/>
          <w:color w:val="0F1115"/>
          <w:sz w:val="21"/>
          <w:szCs w:val="21"/>
        </w:rPr>
        <w:t>，磷酸二铵产量达</w:t>
      </w:r>
      <w:r>
        <w:rPr>
          <w:rFonts w:hint="eastAsia" w:ascii="宋体" w:hAnsi="宋体" w:eastAsia="宋体" w:cs="宋体"/>
          <w:i w:val="0"/>
          <w:color w:val="0F1115"/>
          <w:sz w:val="21"/>
          <w:szCs w:val="21"/>
          <w:lang w:val="en-US" w:eastAsia="zh-CN"/>
        </w:rPr>
        <w:t>691.5</w:t>
      </w:r>
      <w:r>
        <w:rPr>
          <w:rFonts w:hint="eastAsia" w:ascii="宋体" w:hAnsi="宋体" w:eastAsia="宋体" w:cs="宋体"/>
          <w:i w:val="0"/>
          <w:color w:val="0F1115"/>
          <w:sz w:val="21"/>
          <w:szCs w:val="21"/>
        </w:rPr>
        <w:t>万吨</w:t>
      </w:r>
      <w:r>
        <w:rPr>
          <w:rFonts w:hint="eastAsia" w:ascii="宋体" w:hAnsi="宋体" w:eastAsia="宋体" w:cs="宋体"/>
          <w:i w:val="0"/>
          <w:color w:val="0F1115"/>
          <w:sz w:val="21"/>
          <w:szCs w:val="21"/>
          <w:lang w:val="en-US" w:eastAsia="zh-CN"/>
        </w:rPr>
        <w:t>P</w:t>
      </w:r>
      <w:r>
        <w:rPr>
          <w:rFonts w:hint="eastAsia" w:ascii="宋体" w:hAnsi="宋体" w:eastAsia="宋体" w:cs="宋体"/>
          <w:i w:val="0"/>
          <w:color w:val="0F1115"/>
          <w:sz w:val="21"/>
          <w:szCs w:val="21"/>
          <w:vertAlign w:val="subscript"/>
          <w:lang w:val="en-US" w:eastAsia="zh-CN"/>
        </w:rPr>
        <w:t>2</w:t>
      </w:r>
      <w:r>
        <w:rPr>
          <w:rFonts w:hint="eastAsia" w:ascii="宋体" w:hAnsi="宋体" w:eastAsia="宋体" w:cs="宋体"/>
          <w:i w:val="0"/>
          <w:color w:val="0F1115"/>
          <w:sz w:val="21"/>
          <w:szCs w:val="21"/>
          <w:lang w:val="en-US" w:eastAsia="zh-CN"/>
        </w:rPr>
        <w:t>O</w:t>
      </w:r>
      <w:r>
        <w:rPr>
          <w:rFonts w:hint="eastAsia" w:ascii="宋体" w:hAnsi="宋体" w:eastAsia="宋体" w:cs="宋体"/>
          <w:i w:val="0"/>
          <w:color w:val="0F1115"/>
          <w:sz w:val="21"/>
          <w:szCs w:val="21"/>
          <w:vertAlign w:val="subscript"/>
          <w:lang w:val="en-US" w:eastAsia="zh-CN"/>
        </w:rPr>
        <w:t xml:space="preserve">5 </w:t>
      </w:r>
      <w:r>
        <w:rPr>
          <w:rFonts w:hint="eastAsia" w:ascii="宋体" w:hAnsi="宋体" w:eastAsia="宋体" w:cs="宋体"/>
          <w:i w:val="0"/>
          <w:color w:val="0F1115"/>
          <w:sz w:val="21"/>
          <w:szCs w:val="21"/>
          <w:vertAlign w:val="superscript"/>
          <w:lang w:val="en-US" w:eastAsia="zh-CN"/>
        </w:rPr>
        <w:t>a</w:t>
      </w:r>
      <w:r>
        <w:rPr>
          <w:rFonts w:hint="eastAsia" w:ascii="宋体" w:hAnsi="宋体" w:eastAsia="宋体" w:cs="宋体"/>
          <w:i w:val="0"/>
          <w:color w:val="0F1115"/>
          <w:sz w:val="21"/>
          <w:szCs w:val="21"/>
        </w:rPr>
        <w:t>。然而，磷铵行业也面临着严峻的绿色低碳转型压力，业内低于基准水平的磷铵产能占比仍较高，磷石膏消纳水平有待提升，绿色安全发展压力较大。</w:t>
      </w:r>
    </w:p>
    <w:p w14:paraId="643D3CE1">
      <w:pPr>
        <w:pStyle w:val="7"/>
        <w:pageBreakBefore w:val="0"/>
        <w:widowControl/>
        <w:kinsoku/>
        <w:wordWrap/>
        <w:overflowPunct/>
        <w:topLinePunct w:val="0"/>
        <w:autoSpaceDE/>
        <w:autoSpaceDN/>
        <w:bidi w:val="0"/>
        <w:spacing w:after="0" w:afterLines="0"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rPr>
        <w:t>在此背景下，建立科学、统一、可操作的磷铵产品碳足迹量化方法与标准体系，不仅有助于企业摸清碳排放“家底”、识别节能降碳潜力，更是应对国际绿色贸易壁垒、提升产品国际竞争力的迫切需要。本文立足磷铵行业实际，系统分析产品碳足迹核算方法，梳理标准体系建设进展，重点阐述中国磷复肥工业协会团体标准的编制实践，以期为行业绿色低碳发展提供参考。</w:t>
      </w:r>
    </w:p>
    <w:p w14:paraId="00999B7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3" w:name="_Toc32531"/>
      <w:bookmarkStart w:id="4" w:name="_Toc929"/>
      <w:bookmarkStart w:id="5" w:name="_Toc26929"/>
      <w:r>
        <w:rPr>
          <w:rFonts w:hint="eastAsia" w:ascii="宋体" w:hAnsi="宋体" w:eastAsia="宋体" w:cs="宋体"/>
          <w:b/>
          <w:bCs/>
          <w:sz w:val="21"/>
          <w:szCs w:val="21"/>
          <w:lang w:val="en-US" w:eastAsia="zh-CN"/>
        </w:rPr>
        <w:t>1 磷铵产品碳足迹核算方法研究</w:t>
      </w:r>
      <w:bookmarkEnd w:id="3"/>
      <w:bookmarkEnd w:id="4"/>
      <w:bookmarkEnd w:id="5"/>
    </w:p>
    <w:p w14:paraId="208BBFD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6" w:name="_Toc5582"/>
      <w:bookmarkStart w:id="7" w:name="_Toc1888"/>
      <w:bookmarkStart w:id="8" w:name="_Toc10178"/>
      <w:r>
        <w:rPr>
          <w:rFonts w:hint="eastAsia" w:ascii="宋体" w:hAnsi="宋体" w:eastAsia="宋体" w:cs="宋体"/>
          <w:b/>
          <w:bCs/>
          <w:sz w:val="21"/>
          <w:szCs w:val="21"/>
          <w:lang w:val="en-US" w:eastAsia="zh-CN"/>
        </w:rPr>
        <w:t>1.1 产品碳足迹量化通则与基本原则</w:t>
      </w:r>
      <w:bookmarkEnd w:id="6"/>
      <w:bookmarkEnd w:id="7"/>
      <w:bookmarkEnd w:id="8"/>
    </w:p>
    <w:p w14:paraId="154367B4">
      <w:pPr>
        <w:pStyle w:val="7"/>
        <w:pageBreakBefore w:val="0"/>
        <w:widowControl/>
        <w:kinsoku/>
        <w:wordWrap/>
        <w:overflowPunct/>
        <w:topLinePunct w:val="0"/>
        <w:autoSpaceDE/>
        <w:autoSpaceDN/>
        <w:bidi w:val="0"/>
        <w:spacing w:after="0" w:afterLines="0"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rPr>
        <w:t>产品碳足迹是基于气候变化这一单一环境影响类型，运用生命周期评价方法得出的产品系统中温室气体排放量和清除量之和，以二氧化碳当量（CO₂e）表示。2024年8月，由生态环境部提出并指导制定的GB/T 24067-2024《温室气体 产品碳足迹 量化要求和指南》正式发布</w:t>
      </w:r>
      <w:r>
        <w:rPr>
          <w:rFonts w:hint="eastAsia" w:ascii="宋体" w:hAnsi="宋体" w:eastAsia="宋体" w:cs="宋体"/>
          <w:i w:val="0"/>
          <w:color w:val="0F1115"/>
          <w:sz w:val="21"/>
          <w:szCs w:val="21"/>
          <w:vertAlign w:val="superscript"/>
          <w:lang w:val="en-US" w:eastAsia="zh-CN"/>
        </w:rPr>
        <w:t>b</w:t>
      </w:r>
      <w:r>
        <w:rPr>
          <w:rFonts w:hint="eastAsia" w:ascii="宋体" w:hAnsi="宋体" w:eastAsia="宋体" w:cs="宋体"/>
          <w:i w:val="0"/>
          <w:color w:val="0F1115"/>
          <w:sz w:val="21"/>
          <w:szCs w:val="21"/>
        </w:rPr>
        <w:t>，填补了国内产品碳足迹核算通用标准的空白，为研究编制具体产品碳足迹核算标准提供了重要依据。</w:t>
      </w:r>
    </w:p>
    <w:p w14:paraId="2D029B85">
      <w:pPr>
        <w:pStyle w:val="7"/>
        <w:pageBreakBefore w:val="0"/>
        <w:widowControl/>
        <w:kinsoku/>
        <w:wordWrap/>
        <w:overflowPunct/>
        <w:topLinePunct w:val="0"/>
        <w:autoSpaceDE/>
        <w:autoSpaceDN/>
        <w:bidi w:val="0"/>
        <w:spacing w:after="0" w:afterLines="0"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rPr>
        <w:t>产品碳足迹量化应遵循生命周期视角原则、功能单位相对应性原则、方法的迭代原则、科学方法优先性原则，以及相关性、完整性、一致性、统一性、准确性、透明性和避免重复计算等基本原则。</w:t>
      </w:r>
    </w:p>
    <w:p w14:paraId="20654A1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9" w:name="_Toc6188"/>
      <w:bookmarkStart w:id="10" w:name="_Toc26384"/>
      <w:bookmarkStart w:id="11" w:name="_Toc20332"/>
      <w:r>
        <w:rPr>
          <w:rFonts w:hint="eastAsia" w:ascii="宋体" w:hAnsi="宋体" w:eastAsia="宋体" w:cs="宋体"/>
          <w:b/>
          <w:bCs/>
          <w:sz w:val="21"/>
          <w:szCs w:val="21"/>
          <w:lang w:val="en-US" w:eastAsia="zh-CN"/>
        </w:rPr>
        <w:t>1.2 磷铵产品碳足迹核算方法框架</w:t>
      </w:r>
      <w:bookmarkEnd w:id="9"/>
      <w:bookmarkEnd w:id="10"/>
      <w:bookmarkEnd w:id="11"/>
    </w:p>
    <w:p w14:paraId="56A79FD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2" w:name="_Toc11845"/>
      <w:bookmarkStart w:id="13" w:name="_Toc12895"/>
      <w:bookmarkStart w:id="14" w:name="_Toc26594"/>
      <w:r>
        <w:rPr>
          <w:rFonts w:hint="eastAsia" w:ascii="宋体" w:hAnsi="宋体" w:eastAsia="宋体" w:cs="宋体"/>
          <w:b/>
          <w:bCs/>
          <w:sz w:val="21"/>
          <w:szCs w:val="21"/>
          <w:lang w:val="en-US" w:eastAsia="zh-CN"/>
        </w:rPr>
        <w:t>1.2.1 量化目的与范围</w:t>
      </w:r>
      <w:bookmarkEnd w:id="12"/>
      <w:bookmarkEnd w:id="13"/>
      <w:bookmarkEnd w:id="14"/>
    </w:p>
    <w:p w14:paraId="47E16FD7">
      <w:pPr>
        <w:pStyle w:val="7"/>
        <w:pageBreakBefore w:val="0"/>
        <w:widowControl/>
        <w:kinsoku/>
        <w:wordWrap/>
        <w:overflowPunct/>
        <w:topLinePunct w:val="0"/>
        <w:autoSpaceDE/>
        <w:autoSpaceDN/>
        <w:bidi w:val="0"/>
        <w:spacing w:after="0" w:afterLines="0"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rPr>
        <w:t>开展磷铵产品碳足迹量化的总体目的是结合取舍准则，通过量化产品系统边界内所有显著的温室气体排放量和清除量，计算每功能单位产品对全球变暖的潜在贡献，并以二氧化碳当量（CO₂e）表示。量化目的主要包括：评价产品对气候变化的潜在影响；明确生命周期各阶段对产品碳足迹的贡献程度；为产品研发、技术改造和行业绿色转型提供方向；支持上下游供应链间的温室气体排放信息沟通与低碳设计改进。</w:t>
      </w:r>
    </w:p>
    <w:p w14:paraId="447E6CBB">
      <w:pPr>
        <w:pStyle w:val="7"/>
        <w:pageBreakBefore w:val="0"/>
        <w:widowControl/>
        <w:kinsoku/>
        <w:wordWrap/>
        <w:overflowPunct/>
        <w:topLinePunct w:val="0"/>
        <w:autoSpaceDE/>
        <w:autoSpaceDN/>
        <w:bidi w:val="0"/>
        <w:spacing w:after="0" w:afterLines="0"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rPr>
        <w:t>磷铵产品碳足迹量化以“符合GB/T 10205等标准规定的1t磷铵”作为声明单位。系统边界界定为“摇篮到大门”，涵盖原辅材料获取、运输到磷铵产品离开生产厂大门为止的全过程。</w:t>
      </w:r>
    </w:p>
    <w:p w14:paraId="5383FD9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5" w:name="_Toc26110"/>
      <w:bookmarkStart w:id="16" w:name="_Toc31090"/>
      <w:bookmarkStart w:id="17" w:name="_Toc30135"/>
      <w:r>
        <w:rPr>
          <w:rFonts w:hint="eastAsia" w:ascii="宋体" w:hAnsi="宋体" w:eastAsia="宋体" w:cs="宋体"/>
          <w:b/>
          <w:bCs/>
          <w:sz w:val="21"/>
          <w:szCs w:val="21"/>
          <w:lang w:val="en-US" w:eastAsia="zh-CN"/>
        </w:rPr>
        <w:t>1.2.2 系统边界与单元过程划分</w:t>
      </w:r>
      <w:bookmarkEnd w:id="15"/>
      <w:bookmarkEnd w:id="16"/>
      <w:bookmarkEnd w:id="17"/>
    </w:p>
    <w:p w14:paraId="057146B4">
      <w:pPr>
        <w:pStyle w:val="7"/>
        <w:pageBreakBefore w:val="0"/>
        <w:widowControl/>
        <w:kinsoku/>
        <w:wordWrap/>
        <w:overflowPunct/>
        <w:topLinePunct w:val="0"/>
        <w:autoSpaceDE/>
        <w:autoSpaceDN/>
        <w:bidi w:val="0"/>
        <w:spacing w:after="0" w:afterLines="0"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rPr>
        <w:t>磷铵产品的生产工艺路线多样，主要包括传统法、料浆法、精制湿法磷酸法、化学净化法以及水溶性磷铵和增值磷铵等工艺路线，不同工艺的系统边界略有差异。</w:t>
      </w:r>
    </w:p>
    <w:p w14:paraId="3583B84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8" w:name="_Toc740"/>
      <w:bookmarkStart w:id="19" w:name="_Toc3807"/>
      <w:bookmarkStart w:id="20" w:name="_Toc12515"/>
      <w:r>
        <w:rPr>
          <w:rFonts w:hint="eastAsia" w:ascii="宋体" w:hAnsi="宋体" w:eastAsia="宋体" w:cs="宋体"/>
          <w:b/>
          <w:bCs/>
          <w:sz w:val="21"/>
          <w:szCs w:val="21"/>
          <w:lang w:val="en-US" w:eastAsia="zh-CN"/>
        </w:rPr>
        <w:t>1.2.3 清单分析与数据质量</w:t>
      </w:r>
      <w:bookmarkEnd w:id="18"/>
      <w:bookmarkEnd w:id="19"/>
      <w:bookmarkEnd w:id="20"/>
    </w:p>
    <w:p w14:paraId="33A06294">
      <w:pPr>
        <w:pStyle w:val="7"/>
        <w:pageBreakBefore w:val="0"/>
        <w:widowControl/>
        <w:kinsoku/>
        <w:wordWrap/>
        <w:overflowPunct/>
        <w:topLinePunct w:val="0"/>
        <w:autoSpaceDE/>
        <w:autoSpaceDN/>
        <w:bidi w:val="0"/>
        <w:spacing w:after="0" w:afterLines="0"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rPr>
        <w:t>清单分析是产品碳足迹量化的核心环节。应首先将系统边界划分为不同的单元过程，对各单元过程的输入和输出数据进行系统收集。数据收集应采用分级管理的策略：对于生产阶段各单元过程的原辅材料消耗量、能源消耗量、废水及废物处理量等，应使用现场数据；对于硫酸、磷矿石、液氨等关键原料的温室气体排放因子，宜使用初级数据；对于电力、热力等能源获取阶段的温室气体排放因子以及各种运输活动的排放因子，可使用次级数据，推荐优先使用本土化数据库。</w:t>
      </w:r>
    </w:p>
    <w:p w14:paraId="640C5447">
      <w:pPr>
        <w:pStyle w:val="7"/>
        <w:pageBreakBefore w:val="0"/>
        <w:widowControl/>
        <w:kinsoku/>
        <w:wordWrap/>
        <w:overflowPunct/>
        <w:topLinePunct w:val="0"/>
        <w:autoSpaceDE/>
        <w:autoSpaceDN/>
        <w:bidi w:val="0"/>
        <w:spacing w:after="0" w:afterLines="0"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rPr>
        <w:t>数据质量是保证核算结果可靠性的关键。数据采集应满足完整性、准确性和一致性的要求。完整性要求初级数据宜采集企业一个自然年的生产统计数据；准确性要求能源和原材料消耗数据来自企业实际生产统计记录，环境排放数据优先采用环境监测报告；一致性要求同类数据保持相同的数据来源、统计口径和处理规则。</w:t>
      </w:r>
      <w:bookmarkStart w:id="21" w:name="_Toc10698"/>
      <w:bookmarkStart w:id="22" w:name="_Toc16580"/>
      <w:bookmarkStart w:id="23" w:name="_Toc3905"/>
    </w:p>
    <w:bookmarkEnd w:id="21"/>
    <w:bookmarkEnd w:id="22"/>
    <w:bookmarkEnd w:id="23"/>
    <w:p w14:paraId="502B785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24" w:name="_Toc26400"/>
      <w:bookmarkStart w:id="25" w:name="_Toc23248"/>
      <w:bookmarkStart w:id="26" w:name="_Toc9738"/>
      <w:r>
        <w:rPr>
          <w:rFonts w:hint="eastAsia" w:ascii="宋体" w:hAnsi="宋体" w:eastAsia="宋体" w:cs="宋体"/>
          <w:b/>
          <w:bCs/>
          <w:sz w:val="21"/>
          <w:szCs w:val="21"/>
          <w:lang w:val="en-US" w:eastAsia="zh-CN"/>
        </w:rPr>
        <w:t>1.2.4 分配规则与取舍准则</w:t>
      </w:r>
      <w:bookmarkEnd w:id="24"/>
      <w:bookmarkEnd w:id="25"/>
      <w:bookmarkEnd w:id="26"/>
    </w:p>
    <w:p w14:paraId="6DD17656">
      <w:pPr>
        <w:pStyle w:val="7"/>
        <w:keepNext w:val="0"/>
        <w:keepLines w:val="0"/>
        <w:pageBreakBefore w:val="0"/>
        <w:widowControl/>
        <w:kinsoku/>
        <w:wordWrap/>
        <w:overflowPunct/>
        <w:topLinePunct w:val="0"/>
        <w:autoSpaceDE/>
        <w:autoSpaceDN/>
        <w:bidi w:val="0"/>
        <w:adjustRightInd w:val="0"/>
        <w:snapToGrid/>
        <w:spacing w:after="0" w:afterLines="0"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rPr>
        <w:t>磷铵生产过程中涉及副产品及废弃物的分配问题。稀磷酸生产过程中产生的副产品氟硅酸因比例较小（通常质量或体积≤1%），可不进行分配；磷石膏作为废弃物，不参与分配。当无法通过细分单元过程避免分配时，优先采用物理法（如重量法）进行分配，其次可选择经济价值法。例如，精制湿法磷酸制备工业磷铵时，可将稀磷酸萃取作为独立单元过程，副产的萃余酸按重量法（折100%H₃PO₄）进行分配。</w:t>
      </w:r>
    </w:p>
    <w:p w14:paraId="1459CE8A">
      <w:pPr>
        <w:pStyle w:val="7"/>
        <w:keepNext w:val="0"/>
        <w:keepLines w:val="0"/>
        <w:pageBreakBefore w:val="0"/>
        <w:widowControl/>
        <w:kinsoku/>
        <w:wordWrap/>
        <w:overflowPunct/>
        <w:topLinePunct w:val="0"/>
        <w:autoSpaceDE/>
        <w:autoSpaceDN/>
        <w:bidi w:val="0"/>
        <w:adjustRightInd w:val="0"/>
        <w:snapToGrid/>
        <w:spacing w:after="0" w:afterLines="0"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rPr>
        <w:t>在取舍准则方面，可忽略道路与厂房基础设施、各工序设备的制造与装配，以及厂区内人员办公及生活设施的消耗和排放。</w:t>
      </w:r>
    </w:p>
    <w:p w14:paraId="4C0EFEC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27" w:name="_Toc19511"/>
      <w:bookmarkStart w:id="28" w:name="_Toc15132"/>
      <w:bookmarkStart w:id="29" w:name="_Toc25476"/>
      <w:r>
        <w:rPr>
          <w:rFonts w:hint="eastAsia" w:ascii="宋体" w:hAnsi="宋体" w:eastAsia="宋体" w:cs="宋体"/>
          <w:b/>
          <w:bCs/>
          <w:sz w:val="21"/>
          <w:szCs w:val="21"/>
          <w:lang w:val="en-US" w:eastAsia="zh-CN"/>
        </w:rPr>
        <w:t>2 磷铵产品碳足迹标准体系建设进展</w:t>
      </w:r>
      <w:bookmarkEnd w:id="27"/>
      <w:bookmarkEnd w:id="28"/>
      <w:bookmarkEnd w:id="29"/>
    </w:p>
    <w:p w14:paraId="20D7C4F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30" w:name="_Toc12703"/>
      <w:bookmarkStart w:id="31" w:name="_Toc22917"/>
      <w:bookmarkStart w:id="32" w:name="_Toc5648"/>
      <w:r>
        <w:rPr>
          <w:rFonts w:hint="eastAsia" w:ascii="宋体" w:hAnsi="宋体" w:eastAsia="宋体" w:cs="宋体"/>
          <w:b/>
          <w:bCs/>
          <w:sz w:val="21"/>
          <w:szCs w:val="21"/>
          <w:lang w:val="en-US" w:eastAsia="zh-CN"/>
        </w:rPr>
        <w:t>2.1 国家层面的通则标准引领</w:t>
      </w:r>
      <w:bookmarkEnd w:id="30"/>
      <w:bookmarkEnd w:id="31"/>
      <w:bookmarkEnd w:id="32"/>
    </w:p>
    <w:p w14:paraId="0CE29F8A">
      <w:pPr>
        <w:pStyle w:val="7"/>
        <w:pageBreakBefore w:val="0"/>
        <w:widowControl/>
        <w:kinsoku/>
        <w:wordWrap/>
        <w:overflowPunct/>
        <w:topLinePunct w:val="0"/>
        <w:autoSpaceDE/>
        <w:autoSpaceDN/>
        <w:bidi w:val="0"/>
        <w:spacing w:after="0" w:afterLines="0"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rPr>
        <w:t>GB/T 24067-2024《温室气体 产品碳足迹 量化要求和指南》的发布标志着我国产品碳足迹核算标准体系建设进入新阶段。与此同时，肥料行业碳足迹标准体系正在加速构建。2024年底，中国石油和化学工业联合会批准发布了《温室气体 产品碳足迹量化方法与要求 复合肥料》等23项团体标准；氮肥行业也在积极推进合成氨、尿素碳足迹量化国家标准的制定工作。2024年9月，国家市场监督管理总局、国家标准化管理委员会发布了GB/T 32151.45-2024《温室气体排放核算与报告要求 第45部分：磷酸及磷酸盐企业》，这是我国首个磷酸及磷酸盐企业碳排放核算国家标准。</w:t>
      </w:r>
    </w:p>
    <w:p w14:paraId="5652E36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33" w:name="_Toc2157"/>
      <w:bookmarkStart w:id="34" w:name="_Toc20440"/>
      <w:bookmarkStart w:id="35" w:name="_Toc13260"/>
      <w:r>
        <w:rPr>
          <w:rFonts w:hint="eastAsia" w:ascii="宋体" w:hAnsi="宋体" w:eastAsia="宋体" w:cs="宋体"/>
          <w:b/>
          <w:bCs/>
          <w:sz w:val="21"/>
          <w:szCs w:val="21"/>
          <w:lang w:val="en-US" w:eastAsia="zh-CN"/>
        </w:rPr>
        <w:t>2.2 地方标准与团体标准的先行探索</w:t>
      </w:r>
      <w:bookmarkEnd w:id="33"/>
      <w:bookmarkEnd w:id="34"/>
      <w:bookmarkEnd w:id="35"/>
    </w:p>
    <w:p w14:paraId="6862E4E7">
      <w:pPr>
        <w:pStyle w:val="7"/>
        <w:pageBreakBefore w:val="0"/>
        <w:widowControl/>
        <w:kinsoku/>
        <w:wordWrap/>
        <w:overflowPunct/>
        <w:topLinePunct w:val="0"/>
        <w:autoSpaceDE/>
        <w:autoSpaceDN/>
        <w:bidi w:val="0"/>
        <w:spacing w:after="0" w:afterLines="0"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rPr>
        <w:t>在产品碳足迹管理体系建设初期，地方标准和团体标准发挥了重要的先行先试作用。2024年12月，四川省发布了DB51/T 3210-2024《产品碳足迹评价技术规范 磷铵化肥》地方标准，规定了磷铵化肥产品碳足迹评价的方法及要求，适用于磷铵化肥产品碳足迹评价</w:t>
      </w:r>
      <w:r>
        <w:rPr>
          <w:rFonts w:hint="eastAsia" w:ascii="宋体" w:hAnsi="宋体" w:eastAsia="宋体" w:cs="宋体"/>
          <w:i w:val="0"/>
          <w:color w:val="0F1115"/>
          <w:sz w:val="21"/>
          <w:szCs w:val="21"/>
          <w:vertAlign w:val="superscript"/>
          <w:lang w:val="en-US" w:eastAsia="zh-CN"/>
        </w:rPr>
        <w:t>c</w:t>
      </w:r>
      <w:r>
        <w:rPr>
          <w:rFonts w:hint="eastAsia" w:ascii="宋体" w:hAnsi="宋体" w:eastAsia="宋体" w:cs="宋体"/>
          <w:i w:val="0"/>
          <w:color w:val="0F1115"/>
          <w:sz w:val="21"/>
          <w:szCs w:val="21"/>
        </w:rPr>
        <w:t>。2025年，湖北省环境保护产业协会批准发布T/HBAEPI 005-2025《温室气体 产品碳足迹量化方法与要求 磷酸一铵、磷酸二铵》团体标准</w:t>
      </w:r>
      <w:r>
        <w:rPr>
          <w:rFonts w:hint="eastAsia" w:ascii="宋体" w:hAnsi="宋体" w:eastAsia="宋体" w:cs="宋体"/>
          <w:i w:val="0"/>
          <w:color w:val="0F1115"/>
          <w:sz w:val="21"/>
          <w:szCs w:val="21"/>
          <w:vertAlign w:val="superscript"/>
          <w:lang w:val="en-US" w:eastAsia="zh-CN"/>
        </w:rPr>
        <w:t>d</w:t>
      </w:r>
      <w:r>
        <w:rPr>
          <w:rFonts w:hint="eastAsia" w:ascii="宋体" w:hAnsi="宋体" w:eastAsia="宋体" w:cs="宋体"/>
          <w:i w:val="0"/>
          <w:color w:val="0F1115"/>
          <w:sz w:val="21"/>
          <w:szCs w:val="21"/>
          <w:lang w:eastAsia="zh-CN"/>
        </w:rPr>
        <w:t>，</w:t>
      </w:r>
      <w:r>
        <w:rPr>
          <w:rFonts w:hint="eastAsia" w:ascii="宋体" w:hAnsi="宋体" w:eastAsia="宋体" w:cs="宋体"/>
          <w:i w:val="0"/>
          <w:color w:val="0F1115"/>
          <w:sz w:val="21"/>
          <w:szCs w:val="21"/>
        </w:rPr>
        <w:t>标准从生产企业核算边界内的关键排放源入手，规范了数据收集和处理流程，明确了产品碳足迹量化方法与要求。</w:t>
      </w:r>
      <w:bookmarkStart w:id="36" w:name="_Toc22867"/>
      <w:bookmarkStart w:id="37" w:name="_Toc18441"/>
      <w:bookmarkStart w:id="38" w:name="_Toc24537"/>
    </w:p>
    <w:p w14:paraId="38EAA63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2.3 行业团体标准的系统化推进</w:t>
      </w:r>
      <w:bookmarkEnd w:id="36"/>
      <w:bookmarkEnd w:id="37"/>
      <w:bookmarkEnd w:id="38"/>
    </w:p>
    <w:p w14:paraId="1864F944">
      <w:pPr>
        <w:pStyle w:val="7"/>
        <w:pageBreakBefore w:val="0"/>
        <w:widowControl/>
        <w:kinsoku/>
        <w:wordWrap/>
        <w:overflowPunct/>
        <w:topLinePunct w:val="0"/>
        <w:autoSpaceDE/>
        <w:autoSpaceDN/>
        <w:bidi w:val="0"/>
        <w:spacing w:after="0" w:afterLines="0"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rPr>
        <w:t>在国家和地方标准实践的基础上，中国磷复肥工业协会作为磷复肥行业的全国性行业组织，与中国石油和化学工业联合会一起，积极推动磷铵产品碳足迹量化方法的行业标准化工作。2025年7月2日，协会批准《温室气体 产品碳足迹量化方法与要求 磷铵》团体标准立项，由云南云天化股份有限公司、方圆标志认证集团有限公司、湖北宜化磷化工有限公司、宜都兴发化工有限公司、湖北大峪口化工有限责任公司、中国化工节能技术协会、中国无机盐工业协会、郑州大学等单位共同承担起草工作。该标准的核心技术内容充分体现了磷铵产品碳足迹量化的专业性和系统性，主要包括以下几个方面：</w:t>
      </w:r>
    </w:p>
    <w:p w14:paraId="3FA2C554">
      <w:pPr>
        <w:pStyle w:val="7"/>
        <w:pageBreakBefore w:val="0"/>
        <w:widowControl/>
        <w:kinsoku/>
        <w:wordWrap/>
        <w:overflowPunct/>
        <w:topLinePunct w:val="0"/>
        <w:autoSpaceDE/>
        <w:autoSpaceDN/>
        <w:bidi w:val="0"/>
        <w:spacing w:after="0" w:afterLines="0" w:line="400" w:lineRule="exact"/>
        <w:ind w:firstLine="420" w:firstLineChars="200"/>
        <w:textAlignment w:val="auto"/>
        <w:rPr>
          <w:rFonts w:hint="eastAsia" w:ascii="宋体" w:hAnsi="宋体" w:eastAsia="宋体" w:cs="宋体"/>
          <w:b w:val="0"/>
          <w:i w:val="0"/>
          <w:color w:val="0F1115"/>
          <w:sz w:val="21"/>
          <w:szCs w:val="21"/>
        </w:rPr>
      </w:pPr>
      <w:r>
        <w:rPr>
          <w:rFonts w:hint="eastAsia" w:ascii="宋体" w:hAnsi="宋体" w:eastAsia="宋体" w:cs="宋体"/>
          <w:i w:val="0"/>
          <w:color w:val="0F1115"/>
          <w:sz w:val="21"/>
          <w:szCs w:val="21"/>
          <w:lang w:eastAsia="zh-CN"/>
        </w:rPr>
        <w:t>一是</w:t>
      </w:r>
      <w:r>
        <w:rPr>
          <w:rFonts w:hint="eastAsia" w:ascii="宋体" w:hAnsi="宋体" w:eastAsia="宋体" w:cs="宋体"/>
          <w:i w:val="0"/>
          <w:color w:val="0F1115"/>
          <w:sz w:val="21"/>
          <w:szCs w:val="21"/>
        </w:rPr>
        <w:t>明确了适用范围。标准适用于采用各种工艺生产的用于肥料的固体磷酸一铵、磷酸二铵、水溶性磷铵、增值磷铵，以及用于工业原料的磷酸二氢铵和磷酸氢二铵。这一范围涵盖了磷铵产品的主要品类，具有较强的行业覆盖面。</w:t>
      </w:r>
    </w:p>
    <w:p w14:paraId="393BE9BA">
      <w:pPr>
        <w:pStyle w:val="7"/>
        <w:pageBreakBefore w:val="0"/>
        <w:widowControl/>
        <w:numPr>
          <w:ilvl w:val="0"/>
          <w:numId w:val="0"/>
        </w:numPr>
        <w:kinsoku/>
        <w:wordWrap/>
        <w:overflowPunct/>
        <w:topLinePunct w:val="0"/>
        <w:autoSpaceDE/>
        <w:autoSpaceDN/>
        <w:bidi w:val="0"/>
        <w:spacing w:after="0" w:afterLines="0" w:line="400" w:lineRule="exact"/>
        <w:ind w:left="0" w:leftChars="0" w:firstLine="480"/>
        <w:textAlignment w:val="auto"/>
        <w:rPr>
          <w:rFonts w:hint="eastAsia" w:ascii="宋体" w:hAnsi="宋体" w:eastAsia="宋体" w:cs="宋体"/>
          <w:b w:val="0"/>
          <w:i w:val="0"/>
          <w:color w:val="0F1115"/>
          <w:sz w:val="21"/>
          <w:szCs w:val="21"/>
        </w:rPr>
      </w:pPr>
      <w:r>
        <w:rPr>
          <w:rFonts w:hint="eastAsia" w:ascii="宋体" w:hAnsi="宋体" w:eastAsia="宋体" w:cs="宋体"/>
          <w:i w:val="0"/>
          <w:color w:val="0F1115"/>
          <w:sz w:val="21"/>
          <w:szCs w:val="21"/>
          <w:lang w:eastAsia="zh-CN"/>
        </w:rPr>
        <w:t>二是</w:t>
      </w:r>
      <w:r>
        <w:rPr>
          <w:rFonts w:hint="eastAsia" w:ascii="宋体" w:hAnsi="宋体" w:eastAsia="宋体" w:cs="宋体"/>
          <w:i w:val="0"/>
          <w:color w:val="0F1115"/>
          <w:sz w:val="21"/>
          <w:szCs w:val="21"/>
        </w:rPr>
        <w:t>构建了完善的术语体系。标准在引用GB/T 24040、GB/T 24044和GB/T 24067相关术语的基础上，专门界定了“磷铵”“增值磷铵”等行业特色术语，确保标准使用者对核心概念有统一理解。</w:t>
      </w:r>
    </w:p>
    <w:p w14:paraId="58B5A642">
      <w:pPr>
        <w:pStyle w:val="7"/>
        <w:pageBreakBefore w:val="0"/>
        <w:widowControl/>
        <w:numPr>
          <w:ilvl w:val="0"/>
          <w:numId w:val="0"/>
        </w:numPr>
        <w:kinsoku/>
        <w:wordWrap/>
        <w:overflowPunct/>
        <w:topLinePunct w:val="0"/>
        <w:autoSpaceDE/>
        <w:autoSpaceDN/>
        <w:bidi w:val="0"/>
        <w:spacing w:after="0" w:afterLines="0" w:line="400" w:lineRule="exact"/>
        <w:ind w:left="0" w:leftChars="0" w:firstLine="480"/>
        <w:textAlignment w:val="auto"/>
        <w:rPr>
          <w:rFonts w:hint="eastAsia" w:ascii="宋体" w:hAnsi="宋体" w:eastAsia="宋体" w:cs="宋体"/>
          <w:b w:val="0"/>
          <w:i w:val="0"/>
          <w:color w:val="0F1115"/>
          <w:sz w:val="21"/>
          <w:szCs w:val="21"/>
        </w:rPr>
      </w:pPr>
      <w:r>
        <w:rPr>
          <w:rFonts w:hint="eastAsia" w:ascii="宋体" w:hAnsi="宋体" w:eastAsia="宋体" w:cs="宋体"/>
          <w:i w:val="0"/>
          <w:color w:val="0F1115"/>
          <w:sz w:val="21"/>
          <w:szCs w:val="21"/>
          <w:lang w:eastAsia="zh-CN"/>
        </w:rPr>
        <w:t>三是</w:t>
      </w:r>
      <w:r>
        <w:rPr>
          <w:rFonts w:hint="eastAsia" w:ascii="宋体" w:hAnsi="宋体" w:eastAsia="宋体" w:cs="宋体"/>
          <w:i w:val="0"/>
          <w:color w:val="0F1115"/>
          <w:sz w:val="21"/>
          <w:szCs w:val="21"/>
        </w:rPr>
        <w:t>细化了多工艺路径的系统边界。针对传统法、料浆法、精制湿法磷酸法、化学净化法、水溶性磷铵和增值磷铵等不同工艺路线，分别绘制了典型系统边界图，明确了各工艺路径涵盖的单元过程，提高了标准的可操作性。</w:t>
      </w:r>
    </w:p>
    <w:p w14:paraId="0BE3A51A">
      <w:pPr>
        <w:pStyle w:val="7"/>
        <w:pageBreakBefore w:val="0"/>
        <w:widowControl/>
        <w:numPr>
          <w:ilvl w:val="0"/>
          <w:numId w:val="0"/>
        </w:numPr>
        <w:kinsoku/>
        <w:wordWrap/>
        <w:overflowPunct/>
        <w:topLinePunct w:val="0"/>
        <w:autoSpaceDE/>
        <w:autoSpaceDN/>
        <w:bidi w:val="0"/>
        <w:spacing w:after="0" w:afterLines="0" w:line="400" w:lineRule="exact"/>
        <w:ind w:left="0" w:leftChars="0" w:firstLine="480"/>
        <w:textAlignment w:val="auto"/>
        <w:rPr>
          <w:rFonts w:hint="eastAsia" w:ascii="宋体" w:hAnsi="宋体" w:eastAsia="宋体" w:cs="宋体"/>
          <w:b w:val="0"/>
          <w:i w:val="0"/>
          <w:color w:val="0F1115"/>
          <w:sz w:val="21"/>
          <w:szCs w:val="21"/>
        </w:rPr>
      </w:pPr>
      <w:r>
        <w:rPr>
          <w:rFonts w:hint="eastAsia" w:ascii="宋体" w:hAnsi="宋体" w:eastAsia="宋体" w:cs="宋体"/>
          <w:i w:val="0"/>
          <w:color w:val="0F1115"/>
          <w:sz w:val="21"/>
          <w:szCs w:val="21"/>
          <w:lang w:eastAsia="zh-CN"/>
        </w:rPr>
        <w:t>四是</w:t>
      </w:r>
      <w:r>
        <w:rPr>
          <w:rFonts w:hint="eastAsia" w:ascii="宋体" w:hAnsi="宋体" w:eastAsia="宋体" w:cs="宋体"/>
          <w:i w:val="0"/>
          <w:color w:val="0F1115"/>
          <w:sz w:val="21"/>
          <w:szCs w:val="21"/>
        </w:rPr>
        <w:t>建立了严格的数据质量要求体系。标准对各单元过程的数据种类和质量等级提出了差异化要求，明确了初级数据和次级数据的适用场景，规定了数据质量评价指标和评价方法，并通过附录形式提供了数据质量等级的量化计算方法。</w:t>
      </w:r>
    </w:p>
    <w:p w14:paraId="48C1C30D">
      <w:pPr>
        <w:pStyle w:val="7"/>
        <w:pageBreakBefore w:val="0"/>
        <w:widowControl/>
        <w:numPr>
          <w:ilvl w:val="0"/>
          <w:numId w:val="0"/>
        </w:numPr>
        <w:kinsoku/>
        <w:wordWrap/>
        <w:overflowPunct/>
        <w:topLinePunct w:val="0"/>
        <w:autoSpaceDE/>
        <w:autoSpaceDN/>
        <w:bidi w:val="0"/>
        <w:spacing w:after="0" w:afterLines="0" w:line="400" w:lineRule="exact"/>
        <w:ind w:left="0" w:leftChars="0" w:firstLine="48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lang w:eastAsia="zh-CN"/>
        </w:rPr>
        <w:t>五是</w:t>
      </w:r>
      <w:r>
        <w:rPr>
          <w:rFonts w:hint="eastAsia" w:ascii="宋体" w:hAnsi="宋体" w:eastAsia="宋体" w:cs="宋体"/>
          <w:i w:val="0"/>
          <w:color w:val="0F1115"/>
          <w:sz w:val="21"/>
          <w:szCs w:val="21"/>
        </w:rPr>
        <w:t>明确了分配规则与取舍准则。针对磷铵生产过程中涉及的副产品分配问题、废弃物处理问题以及取舍范围等，给出了清晰的技术规定，避免了量化过程中的随意性。</w:t>
      </w:r>
      <w:bookmarkStart w:id="39" w:name="_Toc10371"/>
      <w:bookmarkStart w:id="40" w:name="_Toc7820"/>
      <w:bookmarkStart w:id="41" w:name="_Toc23263"/>
    </w:p>
    <w:p w14:paraId="1EEF615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 磷铵碳足迹标准前景展望</w:t>
      </w:r>
      <w:bookmarkEnd w:id="39"/>
      <w:bookmarkEnd w:id="40"/>
      <w:bookmarkEnd w:id="41"/>
    </w:p>
    <w:p w14:paraId="77439EB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42" w:name="_Toc16552"/>
      <w:bookmarkStart w:id="43" w:name="_Toc31338"/>
      <w:bookmarkStart w:id="44" w:name="_Toc4222"/>
      <w:r>
        <w:rPr>
          <w:rFonts w:hint="eastAsia" w:ascii="宋体" w:hAnsi="宋体" w:eastAsia="宋体" w:cs="宋体"/>
          <w:b/>
          <w:bCs/>
          <w:sz w:val="21"/>
          <w:szCs w:val="21"/>
          <w:lang w:val="en-US" w:eastAsia="zh-CN"/>
        </w:rPr>
        <w:t>3.1 标准实施面临的挑战</w:t>
      </w:r>
      <w:bookmarkEnd w:id="42"/>
      <w:bookmarkEnd w:id="43"/>
      <w:bookmarkEnd w:id="44"/>
    </w:p>
    <w:p w14:paraId="17C5A82C">
      <w:pPr>
        <w:pStyle w:val="7"/>
        <w:pageBreakBefore w:val="0"/>
        <w:widowControl/>
        <w:kinsoku/>
        <w:wordWrap/>
        <w:overflowPunct/>
        <w:topLinePunct w:val="0"/>
        <w:autoSpaceDE/>
        <w:autoSpaceDN/>
        <w:bidi w:val="0"/>
        <w:spacing w:after="0" w:afterLines="0" w:line="400" w:lineRule="exact"/>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rPr>
        <w:t>尽管磷铵产品碳足迹标准化工作取得了积极进展，但在标准实施过程中仍面临若干挑战：</w:t>
      </w:r>
    </w:p>
    <w:p w14:paraId="465C96E1">
      <w:pPr>
        <w:pStyle w:val="7"/>
        <w:pageBreakBefore w:val="0"/>
        <w:widowControl/>
        <w:numPr>
          <w:ilvl w:val="0"/>
          <w:numId w:val="0"/>
        </w:numPr>
        <w:kinsoku/>
        <w:wordWrap/>
        <w:overflowPunct/>
        <w:topLinePunct w:val="0"/>
        <w:autoSpaceDE/>
        <w:autoSpaceDN/>
        <w:bidi w:val="0"/>
        <w:spacing w:after="0" w:afterLines="0" w:line="400" w:lineRule="exact"/>
        <w:ind w:left="0" w:leftChars="0" w:firstLine="480"/>
        <w:textAlignment w:val="auto"/>
        <w:rPr>
          <w:rFonts w:hint="eastAsia" w:ascii="宋体" w:hAnsi="宋体" w:eastAsia="宋体" w:cs="宋体"/>
          <w:b w:val="0"/>
          <w:i w:val="0"/>
          <w:color w:val="0F1115"/>
          <w:sz w:val="21"/>
          <w:szCs w:val="21"/>
        </w:rPr>
      </w:pPr>
      <w:r>
        <w:rPr>
          <w:rFonts w:hint="eastAsia" w:ascii="宋体" w:hAnsi="宋体" w:eastAsia="宋体" w:cs="宋体"/>
          <w:i w:val="0"/>
          <w:color w:val="0F1115"/>
          <w:sz w:val="21"/>
          <w:szCs w:val="21"/>
          <w:lang w:eastAsia="zh-CN"/>
        </w:rPr>
        <w:t>一是</w:t>
      </w:r>
      <w:r>
        <w:rPr>
          <w:rFonts w:hint="eastAsia" w:ascii="宋体" w:hAnsi="宋体" w:eastAsia="宋体" w:cs="宋体"/>
          <w:i w:val="0"/>
          <w:color w:val="0F1115"/>
          <w:sz w:val="21"/>
          <w:szCs w:val="21"/>
        </w:rPr>
        <w:t>数据获取困难。磷铵产业链较长，上游涉及磷矿开采、硫酸生产、液氨合成等多个环节，部分上游供应商缺乏系统化的碳排放数据管理能力，初级数据的获取存在较大难度。特别是在中小企业中，能源计量和数据管理体系尚不完善，影响了数据质量的整体提升。</w:t>
      </w:r>
    </w:p>
    <w:p w14:paraId="52302544">
      <w:pPr>
        <w:pStyle w:val="7"/>
        <w:pageBreakBefore w:val="0"/>
        <w:widowControl/>
        <w:numPr>
          <w:ilvl w:val="0"/>
          <w:numId w:val="0"/>
        </w:numPr>
        <w:kinsoku/>
        <w:wordWrap/>
        <w:overflowPunct/>
        <w:topLinePunct w:val="0"/>
        <w:autoSpaceDE/>
        <w:autoSpaceDN/>
        <w:bidi w:val="0"/>
        <w:spacing w:after="0" w:afterLines="0" w:line="400" w:lineRule="exact"/>
        <w:ind w:left="0" w:leftChars="0" w:firstLine="480"/>
        <w:textAlignment w:val="auto"/>
        <w:rPr>
          <w:rFonts w:hint="eastAsia" w:ascii="宋体" w:hAnsi="宋体" w:eastAsia="宋体" w:cs="宋体"/>
          <w:b w:val="0"/>
          <w:i w:val="0"/>
          <w:color w:val="0F1115"/>
          <w:sz w:val="21"/>
          <w:szCs w:val="21"/>
        </w:rPr>
      </w:pPr>
      <w:r>
        <w:rPr>
          <w:rFonts w:hint="eastAsia" w:ascii="宋体" w:hAnsi="宋体" w:eastAsia="宋体" w:cs="宋体"/>
          <w:i w:val="0"/>
          <w:color w:val="0F1115"/>
          <w:sz w:val="21"/>
          <w:szCs w:val="21"/>
          <w:lang w:eastAsia="zh-CN"/>
        </w:rPr>
        <w:t>二是</w:t>
      </w:r>
      <w:r>
        <w:rPr>
          <w:rFonts w:hint="eastAsia" w:ascii="宋体" w:hAnsi="宋体" w:eastAsia="宋体" w:cs="宋体"/>
          <w:i w:val="0"/>
          <w:color w:val="0F1115"/>
          <w:sz w:val="21"/>
          <w:szCs w:val="21"/>
        </w:rPr>
        <w:t>工艺路线差异带来的核算复杂性。磷铵产品涵盖传统法、料浆法、精制湿法磷酸法、化学净化法等多种工艺路线，不同路线在系统边界划分、单元过程识别和排放因子选取上存在差异，如何在标准统一性与工艺适应性之间取得平衡，是标准制定和实施中需要持续关注的问题。</w:t>
      </w:r>
    </w:p>
    <w:p w14:paraId="1E042F03">
      <w:pPr>
        <w:pStyle w:val="7"/>
        <w:pageBreakBefore w:val="0"/>
        <w:widowControl/>
        <w:numPr>
          <w:ilvl w:val="0"/>
          <w:numId w:val="0"/>
        </w:numPr>
        <w:kinsoku/>
        <w:wordWrap/>
        <w:overflowPunct/>
        <w:topLinePunct w:val="0"/>
        <w:autoSpaceDE/>
        <w:autoSpaceDN/>
        <w:bidi w:val="0"/>
        <w:spacing w:after="0" w:afterLines="0" w:line="400" w:lineRule="exact"/>
        <w:ind w:left="0" w:leftChars="0" w:firstLine="480"/>
        <w:textAlignment w:val="auto"/>
        <w:rPr>
          <w:rFonts w:hint="eastAsia" w:ascii="宋体" w:hAnsi="宋体" w:eastAsia="宋体" w:cs="宋体"/>
          <w:b w:val="0"/>
          <w:i w:val="0"/>
          <w:color w:val="0F1115"/>
          <w:sz w:val="21"/>
          <w:szCs w:val="21"/>
        </w:rPr>
      </w:pPr>
      <w:r>
        <w:rPr>
          <w:rFonts w:hint="eastAsia" w:ascii="宋体" w:hAnsi="宋体" w:eastAsia="宋体" w:cs="宋体"/>
          <w:i w:val="0"/>
          <w:color w:val="0F1115"/>
          <w:sz w:val="21"/>
          <w:szCs w:val="21"/>
          <w:lang w:eastAsia="zh-CN"/>
        </w:rPr>
        <w:t>三是</w:t>
      </w:r>
      <w:r>
        <w:rPr>
          <w:rFonts w:hint="eastAsia" w:ascii="宋体" w:hAnsi="宋体" w:eastAsia="宋体" w:cs="宋体"/>
          <w:i w:val="0"/>
          <w:color w:val="0F1115"/>
          <w:sz w:val="21"/>
          <w:szCs w:val="21"/>
        </w:rPr>
        <w:t>本土化排放因子数据的缺失。目前磷铵碳足迹核算中相当一部分次级数据仍需依赖国外数据库或行业平均水平，本土化、精细化、动态更新的碳排放因子数据库建设相对滞后，制约了核算结果的准确性和可比性。</w:t>
      </w:r>
    </w:p>
    <w:p w14:paraId="7DADE3F4">
      <w:pPr>
        <w:pStyle w:val="7"/>
        <w:pageBreakBefore w:val="0"/>
        <w:widowControl/>
        <w:numPr>
          <w:ilvl w:val="0"/>
          <w:numId w:val="0"/>
        </w:numPr>
        <w:kinsoku/>
        <w:wordWrap/>
        <w:overflowPunct/>
        <w:topLinePunct w:val="0"/>
        <w:autoSpaceDE/>
        <w:autoSpaceDN/>
        <w:bidi w:val="0"/>
        <w:spacing w:after="0" w:afterLines="0" w:line="400" w:lineRule="exact"/>
        <w:ind w:left="0" w:leftChars="0" w:firstLine="48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lang w:eastAsia="zh-CN"/>
        </w:rPr>
        <w:t>四是</w:t>
      </w:r>
      <w:r>
        <w:rPr>
          <w:rFonts w:hint="eastAsia" w:ascii="宋体" w:hAnsi="宋体" w:eastAsia="宋体" w:cs="宋体"/>
          <w:i w:val="0"/>
          <w:color w:val="0F1115"/>
          <w:sz w:val="21"/>
          <w:szCs w:val="21"/>
        </w:rPr>
        <w:t>标准采信与互认机制有待完善。在团体标准先行先试的基础上，如何推动团体标准向行业标准、国家标准的转化，如何实现国内标准与国际标准的衔接互认，是扩大标准影响力和应用范围的关键所在。</w:t>
      </w:r>
      <w:bookmarkStart w:id="45" w:name="_Toc30454"/>
      <w:bookmarkStart w:id="46" w:name="_Toc23992"/>
      <w:bookmarkStart w:id="47" w:name="_Toc19681"/>
    </w:p>
    <w:p w14:paraId="179AD2F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 标准化工作的推进方向</w:t>
      </w:r>
      <w:bookmarkEnd w:id="45"/>
      <w:bookmarkEnd w:id="46"/>
      <w:bookmarkEnd w:id="47"/>
    </w:p>
    <w:p w14:paraId="3DC6493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rPr>
        <w:t>展望未来，磷铵产品碳足迹标准化工作可从以下几个方向持续深化：</w:t>
      </w:r>
    </w:p>
    <w:p w14:paraId="484EC18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lang w:val="en-US" w:eastAsia="zh-CN"/>
        </w:rPr>
        <w:t>一是</w:t>
      </w:r>
      <w:r>
        <w:rPr>
          <w:rFonts w:hint="eastAsia" w:ascii="宋体" w:hAnsi="宋体" w:eastAsia="宋体" w:cs="宋体"/>
          <w:i w:val="0"/>
          <w:color w:val="0F1115"/>
          <w:sz w:val="21"/>
          <w:szCs w:val="21"/>
        </w:rPr>
        <w:t>加快数据基础能力建设。推动行业建立磷铵产品全生命周期碳排放因子数据库，涵盖不同原料来源、不同工艺路线、不同区域特点的排放因子数据，为标准的准确实施提供数据支撑。</w:t>
      </w:r>
    </w:p>
    <w:p w14:paraId="45B803D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lang w:val="en-US" w:eastAsia="zh-CN"/>
        </w:rPr>
        <w:t>二是</w:t>
      </w:r>
      <w:r>
        <w:rPr>
          <w:rFonts w:hint="eastAsia" w:ascii="宋体" w:hAnsi="宋体" w:eastAsia="宋体" w:cs="宋体"/>
          <w:i w:val="0"/>
          <w:color w:val="0F1115"/>
          <w:sz w:val="21"/>
          <w:szCs w:val="21"/>
        </w:rPr>
        <w:t>推动多层级标准体系的协同衔接。以团体标准为基础，积极推动磷铵碳足迹核算规则纳入行业标准或国家标准体系，按照“团体标准先行先试、逐步转化为行业标准或国家标准”的原则，加快标准升级。</w:t>
      </w:r>
    </w:p>
    <w:p w14:paraId="2109ADF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lang w:val="en-US" w:eastAsia="zh-CN"/>
        </w:rPr>
        <w:t>三是</w:t>
      </w:r>
      <w:r>
        <w:rPr>
          <w:rFonts w:hint="eastAsia" w:ascii="宋体" w:hAnsi="宋体" w:eastAsia="宋体" w:cs="宋体"/>
          <w:i w:val="0"/>
          <w:color w:val="0F1115"/>
          <w:sz w:val="21"/>
          <w:szCs w:val="21"/>
        </w:rPr>
        <w:t>加强标准的宣贯与能力建设。组织开展标准解读、技术培训、试点示范等活动，提升行业企业对碳足迹核算方法的理解和应用能力，扩大标准的行业覆盖面和实施效果。</w:t>
      </w:r>
    </w:p>
    <w:p w14:paraId="25BEF5AB">
      <w:pPr>
        <w:pStyle w:val="7"/>
        <w:pageBreakBefore w:val="0"/>
        <w:widowControl/>
        <w:kinsoku/>
        <w:wordWrap/>
        <w:overflowPunct/>
        <w:topLinePunct w:val="0"/>
        <w:autoSpaceDE/>
        <w:autoSpaceDN/>
        <w:bidi w:val="0"/>
        <w:spacing w:after="0" w:afterLines="0" w:line="400" w:lineRule="exact"/>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lang w:val="en-US" w:eastAsia="zh-CN"/>
        </w:rPr>
        <w:t>四是</w:t>
      </w:r>
      <w:r>
        <w:rPr>
          <w:rFonts w:hint="eastAsia" w:ascii="宋体" w:hAnsi="宋体" w:eastAsia="宋体" w:cs="宋体"/>
          <w:i w:val="0"/>
          <w:color w:val="0F1115"/>
          <w:sz w:val="21"/>
          <w:szCs w:val="21"/>
        </w:rPr>
        <w:t>探索碳足迹核算与碳标识、碳交易的联动机制。推动碳足迹量化结果在产品碳标签、绿色产品评价、绿色供应链管理以及碳市场交易中的应用，充分释放标准在行业绿色低碳转型中的引领作用。</w:t>
      </w:r>
    </w:p>
    <w:p w14:paraId="1A5D462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48" w:name="_Toc2236"/>
      <w:bookmarkStart w:id="49" w:name="_Toc26853"/>
      <w:bookmarkStart w:id="50" w:name="_Toc23550"/>
      <w:r>
        <w:rPr>
          <w:rFonts w:hint="eastAsia" w:ascii="宋体" w:hAnsi="宋体" w:eastAsia="宋体" w:cs="宋体"/>
          <w:b/>
          <w:bCs/>
          <w:sz w:val="21"/>
          <w:szCs w:val="21"/>
          <w:lang w:val="en-US" w:eastAsia="zh-CN"/>
        </w:rPr>
        <w:t>4 结语</w:t>
      </w:r>
      <w:bookmarkEnd w:id="48"/>
      <w:bookmarkEnd w:id="49"/>
      <w:bookmarkEnd w:id="50"/>
    </w:p>
    <w:p w14:paraId="647C91AE">
      <w:pPr>
        <w:pStyle w:val="7"/>
        <w:pageBreakBefore w:val="0"/>
        <w:widowControl/>
        <w:kinsoku/>
        <w:wordWrap/>
        <w:overflowPunct/>
        <w:topLinePunct w:val="0"/>
        <w:autoSpaceDE/>
        <w:autoSpaceDN/>
        <w:bidi w:val="0"/>
        <w:spacing w:after="0" w:afterLines="0"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rPr>
        <w:t>“双碳”目标为磷复肥行业带来了深刻变革的机遇与挑战。磷铵产品碳足迹量化方法与标准的建立，是行业践行绿色发展理念、响应国家碳达峰碳中和战略的重要举措。由中国磷复肥工业协会</w:t>
      </w:r>
      <w:r>
        <w:rPr>
          <w:rFonts w:hint="eastAsia" w:ascii="宋体" w:hAnsi="宋体" w:eastAsia="宋体" w:cs="宋体"/>
          <w:i w:val="0"/>
          <w:color w:val="0F1115"/>
          <w:sz w:val="21"/>
          <w:szCs w:val="21"/>
          <w:lang w:val="en-US" w:eastAsia="zh-CN"/>
        </w:rPr>
        <w:t>组织</w:t>
      </w:r>
      <w:r>
        <w:rPr>
          <w:rFonts w:hint="eastAsia" w:ascii="宋体" w:hAnsi="宋体" w:eastAsia="宋体" w:cs="宋体"/>
          <w:i w:val="0"/>
          <w:color w:val="0F1115"/>
          <w:sz w:val="21"/>
          <w:szCs w:val="21"/>
        </w:rPr>
        <w:t>制定的《温室气体 产品碳足迹量化方法与要求 磷铵》团体标准，立足行业实际，系统构建了磷铵产品碳足迹量化方法体系，为磷铵生产企业和相关方开展碳足迹核算提供了统一、科学、可操作的技术规范。</w:t>
      </w:r>
    </w:p>
    <w:p w14:paraId="01EA84F1">
      <w:pPr>
        <w:pStyle w:val="7"/>
        <w:pageBreakBefore w:val="0"/>
        <w:widowControl/>
        <w:kinsoku/>
        <w:wordWrap/>
        <w:overflowPunct/>
        <w:topLinePunct w:val="0"/>
        <w:autoSpaceDE/>
        <w:autoSpaceDN/>
        <w:bidi w:val="0"/>
        <w:spacing w:after="0" w:afterLines="0" w:line="400" w:lineRule="exact"/>
        <w:ind w:firstLine="420" w:firstLineChars="200"/>
        <w:textAlignment w:val="auto"/>
        <w:rPr>
          <w:rFonts w:hint="eastAsia" w:ascii="宋体" w:hAnsi="宋体" w:eastAsia="宋体" w:cs="宋体"/>
          <w:i w:val="0"/>
          <w:color w:val="0F1115"/>
          <w:sz w:val="21"/>
          <w:szCs w:val="21"/>
        </w:rPr>
      </w:pPr>
      <w:r>
        <w:rPr>
          <w:rFonts w:hint="eastAsia" w:ascii="宋体" w:hAnsi="宋体" w:eastAsia="宋体" w:cs="宋体"/>
          <w:i w:val="0"/>
          <w:color w:val="0F1115"/>
          <w:sz w:val="21"/>
          <w:szCs w:val="21"/>
        </w:rPr>
        <w:t>展望未来，随着标准体系的不断完善和实施应用的深入推进，磷铵产品碳足迹标准化工作将为行业碳排放精细化管理提供有力支撑，引导企业从生命周期视角识别减碳潜力、优化生产流程、推动供应链协同降碳，助力磷复肥行业走出一条资源高效利用与低碳环保并重的可持续发展道路。同时，统一规范的碳足迹核算方法也将为中国磷铵产品在国际贸易中获取碳足迹相关认证、应对绿色贸易壁垒提供重要技术保障，提升行业国际竞争力和话语权。</w:t>
      </w:r>
      <w:bookmarkStart w:id="51" w:name="_Toc25242"/>
      <w:bookmarkStart w:id="52" w:name="_Toc13881"/>
      <w:bookmarkStart w:id="53" w:name="_Toc7488"/>
    </w:p>
    <w:p w14:paraId="6348336F">
      <w:pPr>
        <w:pStyle w:val="7"/>
        <w:pageBreakBefore w:val="0"/>
        <w:widowControl/>
        <w:kinsoku/>
        <w:wordWrap/>
        <w:overflowPunct/>
        <w:topLinePunct w:val="0"/>
        <w:autoSpaceDE/>
        <w:autoSpaceDN/>
        <w:bidi w:val="0"/>
        <w:spacing w:after="0" w:afterLines="0" w:line="400" w:lineRule="exact"/>
        <w:textAlignment w:val="auto"/>
        <w:rPr>
          <w:rFonts w:hint="eastAsia" w:ascii="宋体" w:hAnsi="宋体" w:eastAsia="宋体" w:cs="宋体"/>
          <w:i w:val="0"/>
          <w:color w:val="0F1115"/>
          <w:sz w:val="21"/>
          <w:szCs w:val="21"/>
        </w:rPr>
      </w:pPr>
    </w:p>
    <w:p w14:paraId="39A7016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参考文献</w:t>
      </w:r>
      <w:bookmarkEnd w:id="51"/>
      <w:bookmarkEnd w:id="52"/>
      <w:bookmarkEnd w:id="53"/>
    </w:p>
    <w:p w14:paraId="2C004CA0">
      <w:pPr>
        <w:pStyle w:val="49"/>
        <w:pageBreakBefore w:val="0"/>
        <w:widowControl/>
        <w:numPr>
          <w:ilvl w:val="0"/>
          <w:numId w:val="0"/>
        </w:numPr>
        <w:shd w:val="clear" w:fill="FFFFFF"/>
        <w:kinsoku/>
        <w:wordWrap/>
        <w:overflowPunct/>
        <w:topLinePunct w:val="0"/>
        <w:autoSpaceDE/>
        <w:autoSpaceDN/>
        <w:bidi w:val="0"/>
        <w:spacing w:line="400" w:lineRule="exact"/>
        <w:ind w:left="0" w:leftChars="0" w:firstLine="0" w:firstLineChars="0"/>
        <w:textAlignment w:val="auto"/>
        <w:rPr>
          <w:rFonts w:hint="eastAsia" w:ascii="宋体" w:hAnsi="宋体" w:eastAsia="宋体" w:cs="宋体"/>
          <w:sz w:val="21"/>
          <w:szCs w:val="21"/>
          <w:lang w:eastAsia="zh-CN"/>
        </w:rPr>
      </w:pPr>
      <w:r>
        <w:rPr>
          <w:rFonts w:hint="eastAsia" w:ascii="宋体" w:hAnsi="宋体" w:cs="宋体"/>
          <w:sz w:val="21"/>
          <w:szCs w:val="21"/>
          <w:lang w:val="en-US" w:eastAsia="zh-CN"/>
        </w:rPr>
        <w:t>[1]</w:t>
      </w:r>
      <w:r>
        <w:rPr>
          <w:rFonts w:hint="eastAsia" w:ascii="宋体" w:hAnsi="宋体" w:eastAsia="宋体" w:cs="宋体"/>
          <w:sz w:val="21"/>
          <w:szCs w:val="21"/>
          <w:lang w:val="en-US" w:eastAsia="zh-CN"/>
        </w:rPr>
        <w:t>李博,方俊文,王莹,等.</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2024年中国磷复肥行业年报</w:t>
      </w:r>
      <w:r>
        <w:rPr>
          <w:rFonts w:hint="eastAsia" w:ascii="宋体" w:hAnsi="宋体" w:eastAsia="宋体" w:cs="宋体"/>
          <w:sz w:val="21"/>
          <w:szCs w:val="21"/>
        </w:rPr>
        <w:t>[</w:t>
      </w:r>
      <w:r>
        <w:rPr>
          <w:rFonts w:hint="eastAsia" w:ascii="宋体" w:hAnsi="宋体" w:eastAsia="宋体" w:cs="宋体"/>
          <w:sz w:val="21"/>
          <w:szCs w:val="21"/>
          <w:lang w:val="en-US" w:eastAsia="zh-CN"/>
        </w:rPr>
        <w:t>R</w:t>
      </w:r>
      <w:r>
        <w:rPr>
          <w:rFonts w:hint="eastAsia" w:ascii="宋体" w:hAnsi="宋体" w:eastAsia="宋体" w:cs="宋体"/>
          <w:sz w:val="21"/>
          <w:szCs w:val="21"/>
        </w:rPr>
        <w:t xml:space="preserve">]. 北京: </w:t>
      </w:r>
      <w:r>
        <w:rPr>
          <w:rFonts w:hint="eastAsia" w:ascii="宋体" w:hAnsi="宋体" w:eastAsia="宋体" w:cs="宋体"/>
          <w:sz w:val="21"/>
          <w:szCs w:val="21"/>
          <w:lang w:val="en-US" w:eastAsia="zh-CN"/>
        </w:rPr>
        <w:t>中国磷复肥工业协会</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2024</w:t>
      </w:r>
      <w:r>
        <w:rPr>
          <w:rFonts w:hint="eastAsia" w:ascii="宋体" w:hAnsi="宋体" w:eastAsia="宋体" w:cs="宋体"/>
          <w:sz w:val="21"/>
          <w:szCs w:val="21"/>
          <w:lang w:val="en-US" w:eastAsia="zh-CN"/>
        </w:rPr>
        <w:t>:1-27</w:t>
      </w:r>
      <w:r>
        <w:rPr>
          <w:rFonts w:hint="eastAsia" w:ascii="宋体" w:hAnsi="宋体" w:eastAsia="宋体" w:cs="宋体"/>
          <w:sz w:val="21"/>
          <w:szCs w:val="21"/>
        </w:rPr>
        <w:t>.</w:t>
      </w:r>
    </w:p>
    <w:p w14:paraId="28E73EC1">
      <w:pPr>
        <w:pStyle w:val="49"/>
        <w:pageBreakBefore w:val="0"/>
        <w:widowControl/>
        <w:numPr>
          <w:ilvl w:val="0"/>
          <w:numId w:val="0"/>
        </w:numPr>
        <w:shd w:val="clear" w:fill="FFFFFF"/>
        <w:kinsoku/>
        <w:wordWrap/>
        <w:overflowPunct/>
        <w:topLinePunct w:val="0"/>
        <w:autoSpaceDE/>
        <w:autoSpaceDN/>
        <w:bidi w:val="0"/>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cs="宋体"/>
          <w:sz w:val="21"/>
          <w:szCs w:val="21"/>
          <w:lang w:val="en-US" w:eastAsia="zh-CN"/>
        </w:rPr>
        <w:t>[2]</w:t>
      </w:r>
      <w:r>
        <w:rPr>
          <w:rFonts w:hint="eastAsia" w:ascii="宋体" w:hAnsi="宋体" w:eastAsia="宋体" w:cs="宋体"/>
          <w:sz w:val="21"/>
          <w:szCs w:val="21"/>
        </w:rPr>
        <w:t>GB/T 24067-2024 温室气体 产品碳足迹 量化要求和指南[S]. 北京: 国家市场监督管理总局, 国家标准化管理委员会, 2024.</w:t>
      </w:r>
    </w:p>
    <w:p w14:paraId="665562AA">
      <w:pPr>
        <w:pStyle w:val="49"/>
        <w:pageBreakBefore w:val="0"/>
        <w:widowControl/>
        <w:numPr>
          <w:ilvl w:val="0"/>
          <w:numId w:val="0"/>
        </w:numPr>
        <w:shd w:val="clear" w:fill="FFFFFF"/>
        <w:kinsoku/>
        <w:wordWrap/>
        <w:overflowPunct/>
        <w:topLinePunct w:val="0"/>
        <w:autoSpaceDE/>
        <w:autoSpaceDN/>
        <w:bidi w:val="0"/>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cs="宋体"/>
          <w:sz w:val="21"/>
          <w:szCs w:val="21"/>
          <w:lang w:val="en-US" w:eastAsia="zh-CN"/>
        </w:rPr>
        <w:t>[3]</w:t>
      </w:r>
      <w:r>
        <w:rPr>
          <w:rFonts w:hint="eastAsia" w:ascii="宋体" w:hAnsi="宋体" w:eastAsia="宋体" w:cs="宋体"/>
          <w:sz w:val="21"/>
          <w:szCs w:val="21"/>
        </w:rPr>
        <w:t>DB51/T 3210-2024 产品碳足迹评价技术规范 磷铵化肥[S]. 成都: 四川省市场监督管理局, 2024.</w:t>
      </w:r>
    </w:p>
    <w:p w14:paraId="6EED7721">
      <w:pPr>
        <w:pStyle w:val="49"/>
        <w:pageBreakBefore w:val="0"/>
        <w:widowControl/>
        <w:numPr>
          <w:ilvl w:val="0"/>
          <w:numId w:val="0"/>
        </w:numPr>
        <w:shd w:val="clear" w:fill="FFFFFF"/>
        <w:kinsoku/>
        <w:wordWrap/>
        <w:overflowPunct/>
        <w:topLinePunct w:val="0"/>
        <w:autoSpaceDE/>
        <w:autoSpaceDN/>
        <w:bidi w:val="0"/>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cs="宋体"/>
          <w:sz w:val="21"/>
          <w:szCs w:val="21"/>
          <w:lang w:val="en-US" w:eastAsia="zh-CN"/>
        </w:rPr>
        <w:t>[4]</w:t>
      </w:r>
      <w:r>
        <w:rPr>
          <w:rFonts w:hint="eastAsia" w:ascii="宋体" w:hAnsi="宋体" w:eastAsia="宋体" w:cs="宋体"/>
          <w:sz w:val="21"/>
          <w:szCs w:val="21"/>
        </w:rPr>
        <w:t>T/HBAEPI 005-2025 温室气体 产品碳足迹量化方法与要求 磷酸一铵、磷酸二铵[S]. 武汉: 湖北省环境保护产业协会, 2025.</w:t>
      </w:r>
    </w:p>
    <w:p w14:paraId="54F882C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B86B51"/>
    <w:rsid w:val="03304250"/>
    <w:rsid w:val="0374238F"/>
    <w:rsid w:val="03A5079A"/>
    <w:rsid w:val="03C50E3C"/>
    <w:rsid w:val="03C527A5"/>
    <w:rsid w:val="048748A1"/>
    <w:rsid w:val="04CC1D57"/>
    <w:rsid w:val="04DC643E"/>
    <w:rsid w:val="056106F1"/>
    <w:rsid w:val="05AE130F"/>
    <w:rsid w:val="05FB3670"/>
    <w:rsid w:val="06112117"/>
    <w:rsid w:val="062077BC"/>
    <w:rsid w:val="065F10D4"/>
    <w:rsid w:val="06C4362D"/>
    <w:rsid w:val="0730481F"/>
    <w:rsid w:val="076E5F7E"/>
    <w:rsid w:val="077566D6"/>
    <w:rsid w:val="07B471FE"/>
    <w:rsid w:val="07C05BA3"/>
    <w:rsid w:val="07E3246F"/>
    <w:rsid w:val="07F7358F"/>
    <w:rsid w:val="08564759"/>
    <w:rsid w:val="08BA0844"/>
    <w:rsid w:val="091A7E4E"/>
    <w:rsid w:val="09931095"/>
    <w:rsid w:val="09F00295"/>
    <w:rsid w:val="0A4B20AA"/>
    <w:rsid w:val="0AEE6ECB"/>
    <w:rsid w:val="0AFF2E86"/>
    <w:rsid w:val="0B4C0C51"/>
    <w:rsid w:val="0B664CB3"/>
    <w:rsid w:val="0C0E77A3"/>
    <w:rsid w:val="0C2B45A8"/>
    <w:rsid w:val="0C580AA0"/>
    <w:rsid w:val="0C8E44C1"/>
    <w:rsid w:val="0CDE6ACB"/>
    <w:rsid w:val="0CE82491"/>
    <w:rsid w:val="0CF56428"/>
    <w:rsid w:val="0CFF53BF"/>
    <w:rsid w:val="0D525F6F"/>
    <w:rsid w:val="0D731909"/>
    <w:rsid w:val="0DA11FD2"/>
    <w:rsid w:val="0E470192"/>
    <w:rsid w:val="0E5352AC"/>
    <w:rsid w:val="0E792F4F"/>
    <w:rsid w:val="0EC8358F"/>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23F1DBA"/>
    <w:rsid w:val="128679E9"/>
    <w:rsid w:val="12CF1390"/>
    <w:rsid w:val="12DB7D35"/>
    <w:rsid w:val="12E60488"/>
    <w:rsid w:val="13001868"/>
    <w:rsid w:val="132A2A6A"/>
    <w:rsid w:val="13CB5FFB"/>
    <w:rsid w:val="141334FE"/>
    <w:rsid w:val="1445433A"/>
    <w:rsid w:val="145D3907"/>
    <w:rsid w:val="148A7C64"/>
    <w:rsid w:val="14B4083D"/>
    <w:rsid w:val="156C2EC6"/>
    <w:rsid w:val="15C56B00"/>
    <w:rsid w:val="16132CB9"/>
    <w:rsid w:val="16B20DAC"/>
    <w:rsid w:val="16B25250"/>
    <w:rsid w:val="16B8213B"/>
    <w:rsid w:val="16D2144F"/>
    <w:rsid w:val="17836BED"/>
    <w:rsid w:val="178C5AA1"/>
    <w:rsid w:val="17AD77C6"/>
    <w:rsid w:val="180933FC"/>
    <w:rsid w:val="185C6006"/>
    <w:rsid w:val="18616F2E"/>
    <w:rsid w:val="191221DB"/>
    <w:rsid w:val="19235F91"/>
    <w:rsid w:val="19800B64"/>
    <w:rsid w:val="19836A30"/>
    <w:rsid w:val="199944A6"/>
    <w:rsid w:val="19FD4A34"/>
    <w:rsid w:val="1A533F79"/>
    <w:rsid w:val="1A5A1E87"/>
    <w:rsid w:val="1B2F179A"/>
    <w:rsid w:val="1B6F3710"/>
    <w:rsid w:val="1C250273"/>
    <w:rsid w:val="1D01483C"/>
    <w:rsid w:val="1D5D57EA"/>
    <w:rsid w:val="1E171E3D"/>
    <w:rsid w:val="1EBA2EF4"/>
    <w:rsid w:val="1EC41FC5"/>
    <w:rsid w:val="1EFE3E02"/>
    <w:rsid w:val="1F78690B"/>
    <w:rsid w:val="1FA40E26"/>
    <w:rsid w:val="20181E55"/>
    <w:rsid w:val="20200F8C"/>
    <w:rsid w:val="204B20BB"/>
    <w:rsid w:val="204F1D62"/>
    <w:rsid w:val="205C7FDB"/>
    <w:rsid w:val="20CA763A"/>
    <w:rsid w:val="21294361"/>
    <w:rsid w:val="21661758"/>
    <w:rsid w:val="227635D6"/>
    <w:rsid w:val="22BA5BB9"/>
    <w:rsid w:val="230D784D"/>
    <w:rsid w:val="2369138D"/>
    <w:rsid w:val="23B95F13"/>
    <w:rsid w:val="24174945"/>
    <w:rsid w:val="24212C83"/>
    <w:rsid w:val="244020ED"/>
    <w:rsid w:val="248A3369"/>
    <w:rsid w:val="248B32E5"/>
    <w:rsid w:val="24B17D3C"/>
    <w:rsid w:val="24EE1B49"/>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9F55569"/>
    <w:rsid w:val="2A6D1762"/>
    <w:rsid w:val="2A9C2048"/>
    <w:rsid w:val="2AF37C49"/>
    <w:rsid w:val="2C1A3224"/>
    <w:rsid w:val="2C5F332D"/>
    <w:rsid w:val="2C864D5D"/>
    <w:rsid w:val="2CDC497D"/>
    <w:rsid w:val="2DA03BFD"/>
    <w:rsid w:val="2DA336ED"/>
    <w:rsid w:val="2DD45655"/>
    <w:rsid w:val="2DFB1818"/>
    <w:rsid w:val="2E7221A8"/>
    <w:rsid w:val="2EC67693"/>
    <w:rsid w:val="2EE30245"/>
    <w:rsid w:val="2F087CAC"/>
    <w:rsid w:val="2F0E4B96"/>
    <w:rsid w:val="2F1A353B"/>
    <w:rsid w:val="2F1F6DA3"/>
    <w:rsid w:val="2F397E65"/>
    <w:rsid w:val="2F620882"/>
    <w:rsid w:val="2F633134"/>
    <w:rsid w:val="2F882B9B"/>
    <w:rsid w:val="2FA86D99"/>
    <w:rsid w:val="310E0E7D"/>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480B4A"/>
    <w:rsid w:val="34821AD6"/>
    <w:rsid w:val="359758E5"/>
    <w:rsid w:val="35A52FD0"/>
    <w:rsid w:val="35D501BC"/>
    <w:rsid w:val="36407D2B"/>
    <w:rsid w:val="36BE3BE8"/>
    <w:rsid w:val="36DA26A7"/>
    <w:rsid w:val="36DB5CA6"/>
    <w:rsid w:val="37227431"/>
    <w:rsid w:val="3756532C"/>
    <w:rsid w:val="375C149E"/>
    <w:rsid w:val="37B01725"/>
    <w:rsid w:val="38061044"/>
    <w:rsid w:val="381C3783"/>
    <w:rsid w:val="389E342F"/>
    <w:rsid w:val="38C5276A"/>
    <w:rsid w:val="39783C80"/>
    <w:rsid w:val="399551B1"/>
    <w:rsid w:val="39D619B3"/>
    <w:rsid w:val="3A445910"/>
    <w:rsid w:val="3A557B1D"/>
    <w:rsid w:val="3A726921"/>
    <w:rsid w:val="3A765FE2"/>
    <w:rsid w:val="3B255741"/>
    <w:rsid w:val="3B653D90"/>
    <w:rsid w:val="3B7D732B"/>
    <w:rsid w:val="3BAE3989"/>
    <w:rsid w:val="3BCC3E0F"/>
    <w:rsid w:val="3BD66A3C"/>
    <w:rsid w:val="3C424796"/>
    <w:rsid w:val="3CC044ED"/>
    <w:rsid w:val="3CC25530"/>
    <w:rsid w:val="3CC52D38"/>
    <w:rsid w:val="3CD13DD3"/>
    <w:rsid w:val="3D0715A3"/>
    <w:rsid w:val="3D1617E6"/>
    <w:rsid w:val="3DA212CB"/>
    <w:rsid w:val="3DBB238D"/>
    <w:rsid w:val="3DBD6105"/>
    <w:rsid w:val="3E4405D4"/>
    <w:rsid w:val="3E9C5D1B"/>
    <w:rsid w:val="3F375A43"/>
    <w:rsid w:val="3FA4757D"/>
    <w:rsid w:val="3FB6105E"/>
    <w:rsid w:val="3FE444E6"/>
    <w:rsid w:val="40490124"/>
    <w:rsid w:val="40583EC3"/>
    <w:rsid w:val="40642868"/>
    <w:rsid w:val="407A652F"/>
    <w:rsid w:val="40923879"/>
    <w:rsid w:val="410F592B"/>
    <w:rsid w:val="411424E0"/>
    <w:rsid w:val="41641264"/>
    <w:rsid w:val="41700BEB"/>
    <w:rsid w:val="426C3C56"/>
    <w:rsid w:val="42786A9F"/>
    <w:rsid w:val="42B15B0D"/>
    <w:rsid w:val="42BC1743"/>
    <w:rsid w:val="42EE53FF"/>
    <w:rsid w:val="43E4263E"/>
    <w:rsid w:val="45554E75"/>
    <w:rsid w:val="458E2C23"/>
    <w:rsid w:val="459D60E3"/>
    <w:rsid w:val="45B70627"/>
    <w:rsid w:val="45CA5863"/>
    <w:rsid w:val="45E5444B"/>
    <w:rsid w:val="46362EF9"/>
    <w:rsid w:val="465515D1"/>
    <w:rsid w:val="468E4AE3"/>
    <w:rsid w:val="46F54E2D"/>
    <w:rsid w:val="46FD57C4"/>
    <w:rsid w:val="47925F0D"/>
    <w:rsid w:val="47A143DA"/>
    <w:rsid w:val="47E81E53"/>
    <w:rsid w:val="48A028AB"/>
    <w:rsid w:val="48B545A9"/>
    <w:rsid w:val="495C0DBE"/>
    <w:rsid w:val="49CB1BAA"/>
    <w:rsid w:val="4A070E34"/>
    <w:rsid w:val="4A4F4589"/>
    <w:rsid w:val="4AB60164"/>
    <w:rsid w:val="4B8E06C7"/>
    <w:rsid w:val="4C934BC0"/>
    <w:rsid w:val="4CFB09F8"/>
    <w:rsid w:val="4D057181"/>
    <w:rsid w:val="4D447CA9"/>
    <w:rsid w:val="4D5123C6"/>
    <w:rsid w:val="4D6B792C"/>
    <w:rsid w:val="4DA16EA9"/>
    <w:rsid w:val="4DDA060D"/>
    <w:rsid w:val="4DED1912"/>
    <w:rsid w:val="4E257ADB"/>
    <w:rsid w:val="4E353A96"/>
    <w:rsid w:val="4EAD187E"/>
    <w:rsid w:val="4EB175C0"/>
    <w:rsid w:val="4EB62E28"/>
    <w:rsid w:val="4EE52FD1"/>
    <w:rsid w:val="4F0911AA"/>
    <w:rsid w:val="4F78309C"/>
    <w:rsid w:val="4F7E394E"/>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97DCB"/>
    <w:rsid w:val="57EF1159"/>
    <w:rsid w:val="583059FA"/>
    <w:rsid w:val="5847689F"/>
    <w:rsid w:val="58532B2C"/>
    <w:rsid w:val="58984204"/>
    <w:rsid w:val="58C47EF0"/>
    <w:rsid w:val="59285798"/>
    <w:rsid w:val="596F60AE"/>
    <w:rsid w:val="5A2A0227"/>
    <w:rsid w:val="5A7B0A82"/>
    <w:rsid w:val="5B0311A3"/>
    <w:rsid w:val="5BB5218E"/>
    <w:rsid w:val="5BFE5E0F"/>
    <w:rsid w:val="5CAA564F"/>
    <w:rsid w:val="5E361890"/>
    <w:rsid w:val="5EDA046D"/>
    <w:rsid w:val="5EE237C6"/>
    <w:rsid w:val="5EFF7ED4"/>
    <w:rsid w:val="5F7679C4"/>
    <w:rsid w:val="5F7F2DC3"/>
    <w:rsid w:val="5FBF1411"/>
    <w:rsid w:val="601A09BC"/>
    <w:rsid w:val="60395667"/>
    <w:rsid w:val="60AA0313"/>
    <w:rsid w:val="610D33E8"/>
    <w:rsid w:val="615E35D8"/>
    <w:rsid w:val="619568CD"/>
    <w:rsid w:val="61E67129"/>
    <w:rsid w:val="62127198"/>
    <w:rsid w:val="621A5025"/>
    <w:rsid w:val="62CC27C3"/>
    <w:rsid w:val="635A7DCF"/>
    <w:rsid w:val="637D586B"/>
    <w:rsid w:val="63872EA4"/>
    <w:rsid w:val="63F26259"/>
    <w:rsid w:val="64061D04"/>
    <w:rsid w:val="640A365A"/>
    <w:rsid w:val="640E2967"/>
    <w:rsid w:val="64754794"/>
    <w:rsid w:val="64FD7B2B"/>
    <w:rsid w:val="657B402C"/>
    <w:rsid w:val="65C07C91"/>
    <w:rsid w:val="66CA526B"/>
    <w:rsid w:val="67160861"/>
    <w:rsid w:val="674A2CE7"/>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76AFF"/>
    <w:rsid w:val="6E2D67FA"/>
    <w:rsid w:val="6E6E0BD2"/>
    <w:rsid w:val="6E91041D"/>
    <w:rsid w:val="6EAB7730"/>
    <w:rsid w:val="6ECB392F"/>
    <w:rsid w:val="6F562B93"/>
    <w:rsid w:val="6FA348AB"/>
    <w:rsid w:val="6FBB39A3"/>
    <w:rsid w:val="6FD23894"/>
    <w:rsid w:val="6FE23626"/>
    <w:rsid w:val="70383246"/>
    <w:rsid w:val="703D260A"/>
    <w:rsid w:val="7060279C"/>
    <w:rsid w:val="70626FA0"/>
    <w:rsid w:val="70756EB2"/>
    <w:rsid w:val="71E73078"/>
    <w:rsid w:val="7258197D"/>
    <w:rsid w:val="72C60FDD"/>
    <w:rsid w:val="72EB27F1"/>
    <w:rsid w:val="730241B0"/>
    <w:rsid w:val="731A1328"/>
    <w:rsid w:val="73587D13"/>
    <w:rsid w:val="743B50B2"/>
    <w:rsid w:val="74BF5CE3"/>
    <w:rsid w:val="750977D2"/>
    <w:rsid w:val="75263FB5"/>
    <w:rsid w:val="75693EA1"/>
    <w:rsid w:val="75B25848"/>
    <w:rsid w:val="766528BB"/>
    <w:rsid w:val="768F268A"/>
    <w:rsid w:val="76C92E49"/>
    <w:rsid w:val="77163BB5"/>
    <w:rsid w:val="77617526"/>
    <w:rsid w:val="777A05E8"/>
    <w:rsid w:val="781A1483"/>
    <w:rsid w:val="781F0851"/>
    <w:rsid w:val="7820118F"/>
    <w:rsid w:val="782A7918"/>
    <w:rsid w:val="78B00E0E"/>
    <w:rsid w:val="78C94F9D"/>
    <w:rsid w:val="78FD502C"/>
    <w:rsid w:val="796450AB"/>
    <w:rsid w:val="79EB30D7"/>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DDA5039"/>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 w:type="paragraph" w:customStyle="1" w:styleId="45">
    <w:name w:val="摘要标题"/>
    <w:next w:val="1"/>
    <w:qFormat/>
    <w:uiPriority w:val="0"/>
    <w:pPr>
      <w:keepNext w:val="0"/>
      <w:keepLines w:val="0"/>
      <w:widowControl w:val="0"/>
      <w:adjustRightInd w:val="0"/>
      <w:spacing w:beforeLines="100" w:afterLines="100" w:line="240" w:lineRule="auto"/>
      <w:jc w:val="center"/>
      <w:outlineLvl w:val="9"/>
    </w:pPr>
    <w:rPr>
      <w:rFonts w:ascii="Times New Roman" w:hAnsi="Times New Roman" w:eastAsia="黑体" w:cs="Times New Roman"/>
      <w:kern w:val="44"/>
      <w:sz w:val="32"/>
      <w:szCs w:val="32"/>
      <w:lang w:bidi="ar-SA"/>
    </w:rPr>
  </w:style>
  <w:style w:type="paragraph" w:customStyle="1" w:styleId="46">
    <w:name w:val="摘要正文"/>
    <w:next w:val="1"/>
    <w:qFormat/>
    <w:uiPriority w:val="0"/>
    <w:pPr>
      <w:widowControl w:val="0"/>
      <w:adjustRightInd w:val="0"/>
      <w:spacing w:line="400" w:lineRule="exact"/>
      <w:ind w:firstLine="480" w:firstLineChars="200"/>
      <w:jc w:val="both"/>
      <w:outlineLvl w:val="9"/>
    </w:pPr>
    <w:rPr>
      <w:rFonts w:ascii="Times New Roman" w:hAnsi="Times New Roman" w:eastAsia="宋体" w:cs="Times New Roman"/>
      <w:kern w:val="2"/>
      <w:sz w:val="24"/>
      <w:szCs w:val="24"/>
    </w:rPr>
  </w:style>
  <w:style w:type="character" w:customStyle="1" w:styleId="47">
    <w:name w:val="关键词"/>
    <w:qFormat/>
    <w:uiPriority w:val="0"/>
    <w:rPr>
      <w:rFonts w:ascii="Times New Roman" w:hAnsi="Times New Roman" w:eastAsia="黑体" w:cs="Times New Roman"/>
      <w:kern w:val="2"/>
      <w:sz w:val="24"/>
      <w:szCs w:val="24"/>
      <w:lang w:bidi="ar-SA"/>
    </w:rPr>
  </w:style>
  <w:style w:type="paragraph" w:customStyle="1" w:styleId="48">
    <w:name w:val="关键词正文"/>
    <w:next w:val="1"/>
    <w:qFormat/>
    <w:uiPriority w:val="0"/>
    <w:pPr>
      <w:widowControl w:val="0"/>
      <w:adjustRightInd w:val="0"/>
      <w:spacing w:line="400" w:lineRule="exact"/>
      <w:ind w:firstLine="0" w:firstLineChars="0"/>
      <w:jc w:val="both"/>
      <w:outlineLvl w:val="9"/>
    </w:pPr>
    <w:rPr>
      <w:rFonts w:ascii="Times New Roman" w:hAnsi="Times New Roman" w:eastAsia="宋体" w:cs="Times New Roman"/>
      <w:kern w:val="2"/>
      <w:sz w:val="24"/>
      <w:szCs w:val="24"/>
      <w:lang w:bidi="ar-SA"/>
    </w:rPr>
  </w:style>
  <w:style w:type="paragraph" w:customStyle="1" w:styleId="49">
    <w:name w:val="参考文献条目"/>
    <w:next w:val="1"/>
    <w:qFormat/>
    <w:uiPriority w:val="0"/>
    <w:pPr>
      <w:widowControl w:val="0"/>
      <w:adjustRightInd w:val="0"/>
      <w:spacing w:line="400" w:lineRule="exact"/>
      <w:ind w:left="480" w:hanging="480" w:hangingChars="200"/>
      <w:jc w:val="both"/>
      <w:outlineLvl w:val="9"/>
    </w:pPr>
    <w:rPr>
      <w:rFonts w:ascii="Times New Roman" w:hAnsi="Times New Roman" w:eastAsia="宋体" w:cs="Times New Roman"/>
      <w:kern w:val="0"/>
      <w:sz w:val="21"/>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339</Words>
  <Characters>352</Characters>
  <Lines>35</Lines>
  <Paragraphs>9</Paragraphs>
  <TotalTime>3</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2026-06-02T01:37:14Z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