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37E9B0">
      <w:pPr>
        <w:pStyle w:val="5"/>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隶书" w:hAnsi="隶书" w:eastAsia="隶书" w:cs="隶书"/>
          <w:lang w:val="en-US" w:eastAsia="zh-CN"/>
        </w:rPr>
      </w:pPr>
    </w:p>
    <w:p w14:paraId="748A9A0F">
      <w:pPr>
        <w:pStyle w:val="5"/>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隶书" w:hAnsi="隶书" w:eastAsia="隶书" w:cs="隶书"/>
          <w:lang w:val="en-US" w:eastAsia="zh-CN"/>
        </w:rPr>
      </w:pPr>
      <w:bookmarkStart w:id="0" w:name="_Hlk88569120"/>
      <w:r>
        <w:rPr>
          <w:rFonts w:hint="eastAsia" w:ascii="隶书" w:hAnsi="隶书" w:eastAsia="隶书" w:cs="隶书"/>
          <w:lang w:val="en-US" w:eastAsia="zh-CN"/>
        </w:rPr>
        <w:t>《工业废硫酸的处理处置规范》2025新规解读</w:t>
      </w:r>
    </w:p>
    <w:bookmarkEnd w:id="0"/>
    <w:p w14:paraId="0CA7164D">
      <w:pPr>
        <w:pStyle w:val="5"/>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default" w:ascii="楷体" w:hAnsi="楷体" w:eastAsia="楷体" w:cs="楷体"/>
          <w:sz w:val="21"/>
          <w:szCs w:val="21"/>
          <w:lang w:val="en-US" w:eastAsia="zh-CN"/>
        </w:rPr>
      </w:pPr>
      <w:r>
        <w:rPr>
          <w:rFonts w:hint="eastAsia" w:ascii="楷体" w:hAnsi="楷体" w:eastAsia="楷体" w:cs="楷体"/>
          <w:color w:val="auto"/>
          <w:sz w:val="21"/>
          <w:szCs w:val="21"/>
        </w:rPr>
        <w:t>钱钧</w:t>
      </w:r>
    </w:p>
    <w:p w14:paraId="204CC2A1">
      <w:pPr>
        <w:pStyle w:val="5"/>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default" w:ascii="楷体" w:hAnsi="楷体" w:eastAsia="楷体" w:cs="楷体"/>
          <w:sz w:val="21"/>
          <w:szCs w:val="21"/>
          <w:lang w:val="en-US" w:eastAsia="zh-CN"/>
        </w:rPr>
      </w:pPr>
      <w:r>
        <w:rPr>
          <w:rFonts w:hint="eastAsia" w:ascii="楷体" w:hAnsi="楷体" w:eastAsia="楷体" w:cs="楷体"/>
          <w:color w:val="auto"/>
          <w:sz w:val="21"/>
          <w:szCs w:val="21"/>
          <w:lang w:val="en-US" w:eastAsia="zh-CN"/>
        </w:rPr>
        <w:t>常州泰特环境设备工程有限公司</w:t>
      </w:r>
    </w:p>
    <w:p w14:paraId="7399C64D">
      <w:pPr>
        <w:keepNext w:val="0"/>
        <w:keepLines w:val="0"/>
        <w:pageBreakBefore w:val="0"/>
        <w:widowControl w:val="0"/>
        <w:kinsoku/>
        <w:wordWrap/>
        <w:overflowPunct/>
        <w:topLinePunct w:val="0"/>
        <w:autoSpaceDE/>
        <w:autoSpaceDN/>
        <w:bidi w:val="0"/>
        <w:adjustRightInd/>
        <w:snapToGrid/>
        <w:spacing w:line="400" w:lineRule="atLeast"/>
        <w:ind w:firstLine="420" w:firstLineChars="200"/>
        <w:textAlignment w:val="auto"/>
        <w:rPr>
          <w:rFonts w:hint="eastAsia" w:ascii="宋体" w:hAnsi="宋体" w:eastAsia="宋体" w:cs="宋体"/>
          <w:b w:val="0"/>
          <w:bCs/>
          <w:sz w:val="21"/>
          <w:szCs w:val="21"/>
          <w:lang w:val="en-US" w:eastAsia="zh-CN"/>
        </w:rPr>
      </w:pPr>
    </w:p>
    <w:p w14:paraId="2AFDBF97">
      <w:pPr>
        <w:pageBreakBefore w:val="0"/>
        <w:kinsoku/>
        <w:wordWrap/>
        <w:overflowPunct/>
        <w:topLinePunct w:val="0"/>
        <w:autoSpaceDE/>
        <w:autoSpaceDN/>
        <w:bidi w:val="0"/>
        <w:adjustRightInd/>
        <w:snapToGrid/>
        <w:spacing w:line="400" w:lineRule="atLeast"/>
        <w:ind w:firstLine="422" w:firstLineChars="200"/>
        <w:textAlignment w:val="auto"/>
        <w:rPr>
          <w:rFonts w:hint="eastAsia" w:ascii="宋体" w:hAnsi="宋体" w:eastAsia="宋体" w:cs="宋体"/>
          <w:b w:val="0"/>
          <w:bCs/>
          <w:sz w:val="21"/>
          <w:szCs w:val="21"/>
        </w:rPr>
      </w:pPr>
      <w:r>
        <w:rPr>
          <w:rFonts w:hint="eastAsia" w:ascii="宋体" w:hAnsi="宋体" w:eastAsia="宋体" w:cs="宋体"/>
          <w:b/>
          <w:bCs w:val="0"/>
          <w:sz w:val="21"/>
          <w:szCs w:val="21"/>
          <w:lang w:val="en-US" w:eastAsia="zh-CN"/>
        </w:rPr>
        <w:t>摘要</w:t>
      </w:r>
      <w:r>
        <w:rPr>
          <w:rFonts w:hint="eastAsia" w:ascii="宋体" w:hAnsi="宋体" w:eastAsia="宋体" w:cs="宋体"/>
          <w:b w:val="0"/>
          <w:bCs/>
          <w:sz w:val="21"/>
          <w:szCs w:val="21"/>
          <w:lang w:val="en-US" w:eastAsia="zh-CN"/>
        </w:rPr>
        <w:t>：</w:t>
      </w:r>
      <w:r>
        <w:rPr>
          <w:rFonts w:hint="eastAsia" w:ascii="宋体" w:hAnsi="宋体" w:eastAsia="宋体" w:cs="宋体"/>
          <w:b w:val="0"/>
          <w:bCs/>
          <w:sz w:val="21"/>
          <w:szCs w:val="21"/>
        </w:rPr>
        <w:t>2026年2月1日起实施的新版《工业废硫酸处理处置规范》明确高温裂解、负压浓缩等7类技术路径，新增全流程管控要求，企业需提前评估技术设备、完善管理制度，把握资源化利用与合规边界。</w:t>
      </w:r>
    </w:p>
    <w:p w14:paraId="6C99DBAE">
      <w:pPr>
        <w:keepNext w:val="0"/>
        <w:keepLines w:val="0"/>
        <w:pageBreakBefore w:val="0"/>
        <w:widowControl w:val="0"/>
        <w:kinsoku/>
        <w:wordWrap/>
        <w:overflowPunct/>
        <w:topLinePunct w:val="0"/>
        <w:autoSpaceDE/>
        <w:autoSpaceDN/>
        <w:bidi w:val="0"/>
        <w:adjustRightInd/>
        <w:snapToGrid/>
        <w:spacing w:line="400" w:lineRule="atLeast"/>
        <w:ind w:firstLine="420" w:firstLineChars="200"/>
        <w:textAlignment w:val="auto"/>
        <w:rPr>
          <w:rFonts w:hint="eastAsia" w:ascii="宋体" w:hAnsi="宋体" w:eastAsia="宋体" w:cs="宋体"/>
          <w:b w:val="0"/>
          <w:bCs/>
          <w:sz w:val="21"/>
          <w:szCs w:val="21"/>
        </w:rPr>
      </w:pPr>
      <w:r>
        <w:rPr>
          <w:rFonts w:hint="eastAsia" w:ascii="宋体" w:hAnsi="宋体" w:eastAsia="宋体" w:cs="宋体"/>
          <w:b w:val="0"/>
          <w:bCs/>
          <w:sz w:val="21"/>
          <w:szCs w:val="21"/>
          <w:lang w:val="en-US" w:eastAsia="zh-CN"/>
        </w:rPr>
        <w:t>工业废硫酸作为高风险危险废物，其处理处置的合规性直接关系到企业环保安全与生产运营。</w:t>
      </w:r>
      <w:r>
        <w:rPr>
          <w:rFonts w:hint="eastAsia" w:ascii="宋体" w:hAnsi="宋体" w:eastAsia="宋体" w:cs="宋体"/>
          <w:b w:val="0"/>
          <w:bCs/>
          <w:sz w:val="21"/>
          <w:szCs w:val="21"/>
        </w:rPr>
        <w:t>2025年8月5日，国家市场监督管理总局和国家标准化管理委员会联合发布了新版国家标准GB/T</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36380-2025《工业废硫酸的处理处置规范》，这一标准将于2026年2月1日正式实施，替代2018年版的旧标准。这一新规范的发布，标志着我国工业废硫酸处理处置工作进入了新阶段，对相关企业的环保要求和技术路线提出了新指引。作为环保行业从业者，我们需要及时了解新规变化，调整项目设计思路。</w:t>
      </w:r>
    </w:p>
    <w:p w14:paraId="55BF11FE">
      <w:pPr>
        <w:pStyle w:val="2"/>
        <w:keepNext w:val="0"/>
        <w:keepLines w:val="0"/>
        <w:pageBreakBefore w:val="0"/>
        <w:widowControl w:val="0"/>
        <w:kinsoku/>
        <w:wordWrap/>
        <w:overflowPunct/>
        <w:topLinePunct w:val="0"/>
        <w:autoSpaceDE/>
        <w:autoSpaceDN/>
        <w:bidi w:val="0"/>
        <w:adjustRightInd/>
        <w:snapToGrid/>
        <w:spacing w:after="0" w:afterLines="0"/>
        <w:textAlignment w:val="auto"/>
        <w:rPr>
          <w:rFonts w:hint="eastAsia"/>
        </w:rPr>
      </w:pPr>
    </w:p>
    <w:p w14:paraId="3FA61304">
      <w:pPr>
        <w:keepNext w:val="0"/>
        <w:keepLines w:val="0"/>
        <w:pageBreakBefore w:val="0"/>
        <w:widowControl w:val="0"/>
        <w:kinsoku/>
        <w:wordWrap/>
        <w:overflowPunct/>
        <w:topLinePunct w:val="0"/>
        <w:autoSpaceDE/>
        <w:autoSpaceDN/>
        <w:bidi w:val="0"/>
        <w:adjustRightInd/>
        <w:snapToGrid/>
        <w:spacing w:line="400" w:lineRule="atLeast"/>
        <w:ind w:firstLine="422" w:firstLineChars="200"/>
        <w:textAlignment w:val="auto"/>
        <w:rPr>
          <w:rFonts w:hint="eastAsia" w:ascii="宋体" w:hAnsi="宋体" w:eastAsia="宋体" w:cs="宋体"/>
          <w:b w:val="0"/>
          <w:bCs/>
          <w:sz w:val="21"/>
          <w:szCs w:val="21"/>
        </w:rPr>
      </w:pPr>
      <w:r>
        <w:rPr>
          <w:rFonts w:hint="eastAsia" w:ascii="宋体" w:hAnsi="宋体" w:eastAsia="宋体" w:cs="宋体"/>
          <w:b/>
          <w:bCs w:val="0"/>
          <w:sz w:val="21"/>
          <w:szCs w:val="21"/>
        </w:rPr>
        <w:t>一、新规核心变化：更全面、更科学、更严格</w:t>
      </w:r>
    </w:p>
    <w:p w14:paraId="1BFEE6BD">
      <w:pPr>
        <w:pageBreakBefore w:val="0"/>
        <w:kinsoku/>
        <w:wordWrap/>
        <w:overflowPunct/>
        <w:topLinePunct w:val="0"/>
        <w:autoSpaceDE/>
        <w:autoSpaceDN/>
        <w:bidi w:val="0"/>
        <w:adjustRightInd/>
        <w:snapToGrid/>
        <w:spacing w:line="400" w:lineRule="atLeast"/>
        <w:ind w:firstLine="420" w:firstLineChars="200"/>
        <w:textAlignment w:val="auto"/>
        <w:rPr>
          <w:rFonts w:hint="eastAsia" w:ascii="宋体" w:hAnsi="宋体" w:eastAsia="宋体" w:cs="宋体"/>
          <w:b w:val="0"/>
          <w:bCs/>
          <w:sz w:val="21"/>
          <w:szCs w:val="21"/>
        </w:rPr>
      </w:pPr>
      <w:r>
        <w:rPr>
          <w:rFonts w:hint="eastAsia" w:ascii="宋体" w:hAnsi="宋体" w:eastAsia="宋体" w:cs="宋体"/>
          <w:b w:val="0"/>
          <w:bCs/>
          <w:sz w:val="21"/>
          <w:szCs w:val="21"/>
          <w:lang w:eastAsia="zh-CN"/>
        </w:rPr>
        <w:t>新标</w:t>
      </w:r>
      <w:r>
        <w:rPr>
          <w:rFonts w:hint="eastAsia" w:ascii="宋体" w:hAnsi="宋体" w:eastAsia="宋体" w:cs="宋体"/>
          <w:b w:val="0"/>
          <w:bCs/>
          <w:sz w:val="21"/>
          <w:szCs w:val="21"/>
        </w:rPr>
        <w:t>与2018年版相比，在多个方面进行了重要调整和更新。</w:t>
      </w:r>
      <w:r>
        <w:rPr>
          <w:rFonts w:hint="eastAsia" w:ascii="宋体" w:hAnsi="宋体" w:eastAsia="宋体" w:cs="宋体"/>
          <w:b w:val="0"/>
          <w:bCs/>
          <w:sz w:val="21"/>
          <w:szCs w:val="21"/>
          <w:lang w:val="en-US" w:eastAsia="zh-CN"/>
        </w:rPr>
        <w:t>新标</w:t>
      </w:r>
      <w:r>
        <w:rPr>
          <w:rFonts w:hint="eastAsia" w:ascii="宋体" w:hAnsi="宋体" w:eastAsia="宋体" w:cs="宋体"/>
          <w:b w:val="0"/>
          <w:bCs/>
          <w:sz w:val="21"/>
          <w:szCs w:val="21"/>
        </w:rPr>
        <w:t>除结构优化与编辑性改动外，技术层面的变化尤为值得关注：</w:t>
      </w:r>
    </w:p>
    <w:p w14:paraId="5BA88E22">
      <w:pPr>
        <w:pageBreakBefore w:val="0"/>
        <w:kinsoku/>
        <w:wordWrap/>
        <w:overflowPunct/>
        <w:topLinePunct w:val="0"/>
        <w:autoSpaceDE/>
        <w:autoSpaceDN/>
        <w:bidi w:val="0"/>
        <w:adjustRightInd/>
        <w:snapToGrid/>
        <w:spacing w:line="400" w:lineRule="atLeast"/>
        <w:ind w:firstLine="420" w:firstLineChars="200"/>
        <w:textAlignment w:val="auto"/>
        <w:rPr>
          <w:rFonts w:hint="eastAsia" w:ascii="宋体" w:hAnsi="宋体" w:eastAsia="宋体" w:cs="宋体"/>
          <w:b w:val="0"/>
          <w:bCs/>
          <w:sz w:val="21"/>
          <w:szCs w:val="21"/>
        </w:rPr>
      </w:pPr>
      <w:r>
        <w:rPr>
          <w:rFonts w:hint="eastAsia" w:ascii="宋体" w:hAnsi="宋体" w:eastAsia="宋体" w:cs="宋体"/>
          <w:b w:val="0"/>
          <w:bCs/>
          <w:sz w:val="21"/>
          <w:szCs w:val="21"/>
        </w:rPr>
        <w:t>术语定义更加清晰。新标首次增加了"术语和定义"章节，明确了"废硫酸"、"处理"、"利用"、"处置"等核心概念，其中将"废硫酸"界定为"硫酸使用后产生的降低或失去原利用价值的硫酸或硫酸溶液"，避免了实践中对概念的模糊解读。</w:t>
      </w:r>
    </w:p>
    <w:p w14:paraId="43791BB8">
      <w:pPr>
        <w:pageBreakBefore w:val="0"/>
        <w:kinsoku/>
        <w:wordWrap/>
        <w:overflowPunct/>
        <w:topLinePunct w:val="0"/>
        <w:autoSpaceDE/>
        <w:autoSpaceDN/>
        <w:bidi w:val="0"/>
        <w:adjustRightInd/>
        <w:snapToGrid/>
        <w:spacing w:line="400" w:lineRule="atLeast"/>
        <w:ind w:firstLine="420" w:firstLineChars="200"/>
        <w:textAlignment w:val="auto"/>
        <w:rPr>
          <w:rFonts w:hint="eastAsia" w:ascii="宋体" w:hAnsi="宋体" w:eastAsia="宋体" w:cs="宋体"/>
          <w:b w:val="0"/>
          <w:bCs/>
          <w:sz w:val="21"/>
          <w:szCs w:val="21"/>
        </w:rPr>
      </w:pPr>
      <w:r>
        <w:rPr>
          <w:rFonts w:hint="eastAsia" w:ascii="宋体" w:hAnsi="宋体" w:eastAsia="宋体" w:cs="宋体"/>
          <w:b w:val="0"/>
          <w:bCs/>
          <w:sz w:val="21"/>
          <w:szCs w:val="21"/>
        </w:rPr>
        <w:t>技术方法迭代升级。新标删除了旧标准中低温、中温、高温再生等处理方法，新增了高温裂解法、多段式负压浓缩净化（结晶）法和废硫酸炭化还原法等更适配当前行业需求的技术路径。同时补充了工业废硫酸预处理方法，涵盖离子交换树脂法、萃取法、沉淀法等5类，可根据废硫酸杂质特性灵活选择。</w:t>
      </w:r>
    </w:p>
    <w:p w14:paraId="0B8C7BDB">
      <w:pPr>
        <w:pageBreakBefore w:val="0"/>
        <w:kinsoku/>
        <w:wordWrap/>
        <w:overflowPunct/>
        <w:topLinePunct w:val="0"/>
        <w:autoSpaceDE/>
        <w:autoSpaceDN/>
        <w:bidi w:val="0"/>
        <w:adjustRightInd/>
        <w:snapToGrid/>
        <w:spacing w:line="400" w:lineRule="atLeast"/>
        <w:ind w:firstLine="420" w:firstLineChars="200"/>
        <w:textAlignment w:val="auto"/>
        <w:rPr>
          <w:rFonts w:hint="eastAsia" w:ascii="宋体" w:hAnsi="宋体" w:eastAsia="宋体" w:cs="宋体"/>
          <w:b w:val="0"/>
          <w:bCs/>
          <w:sz w:val="21"/>
          <w:szCs w:val="21"/>
        </w:rPr>
      </w:pPr>
      <w:r>
        <w:rPr>
          <w:rFonts w:hint="eastAsia" w:ascii="宋体" w:hAnsi="宋体" w:eastAsia="宋体" w:cs="宋体"/>
          <w:b w:val="0"/>
          <w:bCs/>
          <w:sz w:val="21"/>
          <w:szCs w:val="21"/>
        </w:rPr>
        <w:t>管控要求更全面。</w:t>
      </w:r>
      <w:r>
        <w:rPr>
          <w:rFonts w:hint="eastAsia" w:ascii="宋体" w:hAnsi="宋体" w:eastAsia="宋体" w:cs="宋体"/>
          <w:b w:val="0"/>
          <w:bCs/>
          <w:sz w:val="21"/>
          <w:szCs w:val="21"/>
          <w:lang w:eastAsia="zh-CN"/>
        </w:rPr>
        <w:t>新标</w:t>
      </w:r>
      <w:r>
        <w:rPr>
          <w:rFonts w:hint="eastAsia" w:ascii="宋体" w:hAnsi="宋体" w:eastAsia="宋体" w:cs="宋体"/>
          <w:b w:val="0"/>
          <w:bCs/>
          <w:sz w:val="21"/>
          <w:szCs w:val="21"/>
        </w:rPr>
        <w:t>增加了"要求"章节，从基本建设、收集、运输、入厂、贮存到人员资质，形成了全流程管控体系。例如规定废硫酸贮存设施需配备耐酸储罐、围堰、应急池及废气处理设备，贮存时间原则上不超过 1 年；操作人员需经培训合格上岗，主管技术人员需具备 3 年以上相关经验或中级及以上职称。</w:t>
      </w:r>
    </w:p>
    <w:p w14:paraId="6E5E4688">
      <w:pPr>
        <w:pageBreakBefore w:val="0"/>
        <w:kinsoku/>
        <w:wordWrap/>
        <w:overflowPunct/>
        <w:topLinePunct w:val="0"/>
        <w:autoSpaceDE/>
        <w:autoSpaceDN/>
        <w:bidi w:val="0"/>
        <w:adjustRightInd/>
        <w:snapToGrid/>
        <w:spacing w:line="400" w:lineRule="atLeast"/>
        <w:ind w:firstLine="422" w:firstLineChars="200"/>
        <w:textAlignment w:val="auto"/>
        <w:rPr>
          <w:rFonts w:hint="eastAsia" w:ascii="宋体" w:hAnsi="宋体" w:eastAsia="宋体" w:cs="宋体"/>
          <w:b/>
          <w:bCs w:val="0"/>
          <w:sz w:val="21"/>
          <w:szCs w:val="21"/>
        </w:rPr>
      </w:pPr>
      <w:r>
        <w:rPr>
          <w:rFonts w:hint="eastAsia" w:ascii="宋体" w:hAnsi="宋体" w:eastAsia="宋体" w:cs="宋体"/>
          <w:b/>
          <w:bCs w:val="0"/>
          <w:sz w:val="21"/>
          <w:szCs w:val="21"/>
        </w:rPr>
        <w:t>二、对未来</w:t>
      </w:r>
      <w:r>
        <w:rPr>
          <w:rFonts w:hint="eastAsia" w:ascii="宋体" w:hAnsi="宋体" w:eastAsia="宋体" w:cs="宋体"/>
          <w:b/>
          <w:bCs w:val="0"/>
          <w:sz w:val="21"/>
          <w:szCs w:val="21"/>
          <w:lang w:eastAsia="zh-CN"/>
        </w:rPr>
        <w:t>废硫酸</w:t>
      </w:r>
      <w:r>
        <w:rPr>
          <w:rFonts w:hint="eastAsia" w:ascii="宋体" w:hAnsi="宋体" w:eastAsia="宋体" w:cs="宋体"/>
          <w:b/>
          <w:bCs w:val="0"/>
          <w:sz w:val="21"/>
          <w:szCs w:val="21"/>
          <w:lang w:val="en-US" w:eastAsia="zh-CN"/>
        </w:rPr>
        <w:t>处理</w:t>
      </w:r>
      <w:r>
        <w:rPr>
          <w:rFonts w:hint="eastAsia" w:ascii="宋体" w:hAnsi="宋体" w:eastAsia="宋体" w:cs="宋体"/>
          <w:b/>
          <w:bCs w:val="0"/>
          <w:sz w:val="21"/>
          <w:szCs w:val="21"/>
        </w:rPr>
        <w:t>项目设计的影响</w:t>
      </w:r>
    </w:p>
    <w:p w14:paraId="4220D0AA">
      <w:pPr>
        <w:pageBreakBefore w:val="0"/>
        <w:kinsoku/>
        <w:wordWrap/>
        <w:overflowPunct/>
        <w:topLinePunct w:val="0"/>
        <w:autoSpaceDE/>
        <w:autoSpaceDN/>
        <w:bidi w:val="0"/>
        <w:adjustRightInd/>
        <w:snapToGrid/>
        <w:spacing w:line="400" w:lineRule="atLeast"/>
        <w:ind w:firstLine="420" w:firstLineChars="200"/>
        <w:textAlignment w:val="auto"/>
        <w:rPr>
          <w:rFonts w:hint="eastAsia" w:ascii="宋体" w:hAnsi="宋体" w:eastAsia="宋体" w:cs="宋体"/>
          <w:b w:val="0"/>
          <w:bCs/>
          <w:sz w:val="21"/>
          <w:szCs w:val="21"/>
          <w:lang w:eastAsia="zh-CN"/>
        </w:rPr>
      </w:pPr>
      <w:r>
        <w:rPr>
          <w:rFonts w:hint="eastAsia" w:ascii="宋体" w:hAnsi="宋体" w:eastAsia="宋体" w:cs="宋体"/>
          <w:b w:val="0"/>
          <w:bCs/>
          <w:sz w:val="21"/>
          <w:szCs w:val="21"/>
        </w:rPr>
        <w:t>1. 技术路线选择需重新评估</w:t>
      </w:r>
      <w:r>
        <w:rPr>
          <w:rFonts w:hint="eastAsia" w:ascii="宋体" w:hAnsi="宋体" w:eastAsia="宋体" w:cs="宋体"/>
          <w:b w:val="0"/>
          <w:bCs/>
          <w:sz w:val="21"/>
          <w:szCs w:val="21"/>
          <w:lang w:eastAsia="zh-CN"/>
        </w:rPr>
        <w:t>：</w:t>
      </w:r>
    </w:p>
    <w:p w14:paraId="27448274">
      <w:pPr>
        <w:pageBreakBefore w:val="0"/>
        <w:kinsoku/>
        <w:wordWrap/>
        <w:overflowPunct/>
        <w:topLinePunct w:val="0"/>
        <w:autoSpaceDE/>
        <w:autoSpaceDN/>
        <w:bidi w:val="0"/>
        <w:adjustRightInd/>
        <w:snapToGrid/>
        <w:spacing w:line="400" w:lineRule="atLeast"/>
        <w:ind w:firstLine="420" w:firstLineChars="200"/>
        <w:textAlignment w:val="auto"/>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eastAsia="zh-CN"/>
        </w:rPr>
        <w:t>新标</w:t>
      </w:r>
      <w:r>
        <w:rPr>
          <w:rFonts w:hint="eastAsia" w:ascii="宋体" w:hAnsi="宋体" w:eastAsia="宋体" w:cs="宋体"/>
          <w:b w:val="0"/>
          <w:bCs/>
          <w:sz w:val="21"/>
          <w:szCs w:val="21"/>
        </w:rPr>
        <w:t>对处理处置技术的调整，意味着未来项目设计需要重新评估技术路线的合规性和先进性。</w:t>
      </w:r>
      <w:r>
        <w:rPr>
          <w:rFonts w:hint="eastAsia" w:ascii="宋体" w:hAnsi="宋体" w:eastAsia="宋体" w:cs="宋体"/>
          <w:b w:val="0"/>
          <w:bCs/>
          <w:sz w:val="21"/>
          <w:szCs w:val="21"/>
          <w:lang w:val="en-US" w:eastAsia="zh-CN"/>
        </w:rPr>
        <w:t>明确 7 类处理方法和 1 类处置方法，企业可根据废硫酸特性（浓度、杂质类型）选择。</w:t>
      </w:r>
    </w:p>
    <w:p w14:paraId="688F6086">
      <w:pPr>
        <w:pageBreakBefore w:val="0"/>
        <w:kinsoku/>
        <w:wordWrap/>
        <w:overflowPunct/>
        <w:topLinePunct w:val="0"/>
        <w:autoSpaceDE/>
        <w:autoSpaceDN/>
        <w:bidi w:val="0"/>
        <w:adjustRightInd/>
        <w:snapToGrid/>
        <w:spacing w:line="400" w:lineRule="atLeast"/>
        <w:ind w:firstLine="420" w:firstLineChars="200"/>
        <w:textAlignment w:val="auto"/>
        <w:rPr>
          <w:rFonts w:hint="eastAsia" w:ascii="宋体" w:hAnsi="宋体" w:eastAsia="宋体" w:cs="宋体"/>
          <w:b w:val="0"/>
          <w:bCs/>
          <w:sz w:val="21"/>
          <w:szCs w:val="21"/>
        </w:rPr>
      </w:pPr>
      <w:r>
        <w:rPr>
          <w:rFonts w:hint="eastAsia" w:ascii="宋体" w:hAnsi="宋体" w:eastAsia="宋体" w:cs="宋体"/>
          <w:b w:val="0"/>
          <w:bCs/>
          <w:sz w:val="21"/>
          <w:szCs w:val="21"/>
        </w:rPr>
        <w:t>高温裂解法适用于含高浓度有机物、硫酸质量分数不低于</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60%</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的废硫酸，通过</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1100℃-1350℃</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高温裂解转化二氧化硫，最终生产符合</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GB/T 534</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标准的浓硫酸。</w:t>
      </w:r>
    </w:p>
    <w:p w14:paraId="54F35C3F">
      <w:pPr>
        <w:pageBreakBefore w:val="0"/>
        <w:kinsoku/>
        <w:wordWrap/>
        <w:overflowPunct/>
        <w:topLinePunct w:val="0"/>
        <w:autoSpaceDE/>
        <w:autoSpaceDN/>
        <w:bidi w:val="0"/>
        <w:adjustRightInd/>
        <w:snapToGrid/>
        <w:spacing w:line="400" w:lineRule="atLeast"/>
        <w:ind w:firstLine="420" w:firstLineChars="200"/>
        <w:textAlignment w:val="auto"/>
        <w:rPr>
          <w:rFonts w:hint="eastAsia" w:ascii="宋体" w:hAnsi="宋体" w:eastAsia="宋体" w:cs="宋体"/>
          <w:b w:val="0"/>
          <w:bCs/>
          <w:sz w:val="21"/>
          <w:szCs w:val="21"/>
        </w:rPr>
      </w:pPr>
      <w:r>
        <w:rPr>
          <w:rFonts w:hint="eastAsia" w:ascii="宋体" w:hAnsi="宋体" w:eastAsia="宋体" w:cs="宋体"/>
          <w:b w:val="0"/>
          <w:bCs/>
          <w:sz w:val="21"/>
          <w:szCs w:val="21"/>
        </w:rPr>
        <w:t>多段式负压浓缩净化法则可处理有机合成、电子、钛白粉等行业废硫酸，经多段负压蒸发浓缩后，硫酸产品需满足</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GB/T 534</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或再生硫酸专用标准</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GB/T 40124</w:t>
      </w:r>
      <w:r>
        <w:rPr>
          <w:rFonts w:hint="eastAsia" w:ascii="宋体" w:hAnsi="宋体" w:eastAsia="宋体" w:cs="宋体"/>
          <w:b w:val="0"/>
          <w:bCs/>
          <w:sz w:val="21"/>
          <w:szCs w:val="21"/>
          <w:lang w:val="en-US" w:eastAsia="zh-CN"/>
        </w:rPr>
        <w:t xml:space="preserve"> 的指标</w:t>
      </w:r>
      <w:r>
        <w:rPr>
          <w:rFonts w:hint="eastAsia" w:ascii="宋体" w:hAnsi="宋体" w:eastAsia="宋体" w:cs="宋体"/>
          <w:b w:val="0"/>
          <w:bCs/>
          <w:sz w:val="21"/>
          <w:szCs w:val="21"/>
        </w:rPr>
        <w:t>。</w:t>
      </w:r>
    </w:p>
    <w:p w14:paraId="6C971F88">
      <w:pPr>
        <w:pageBreakBefore w:val="0"/>
        <w:kinsoku/>
        <w:wordWrap/>
        <w:overflowPunct/>
        <w:topLinePunct w:val="0"/>
        <w:autoSpaceDE/>
        <w:autoSpaceDN/>
        <w:bidi w:val="0"/>
        <w:adjustRightInd/>
        <w:snapToGrid/>
        <w:spacing w:line="400" w:lineRule="atLeast"/>
        <w:ind w:firstLine="420" w:firstLineChars="200"/>
        <w:textAlignment w:val="auto"/>
        <w:rPr>
          <w:rFonts w:hint="eastAsia" w:ascii="宋体" w:hAnsi="宋体" w:eastAsia="宋体" w:cs="宋体"/>
          <w:b w:val="0"/>
          <w:bCs/>
          <w:sz w:val="21"/>
          <w:szCs w:val="21"/>
          <w:lang w:eastAsia="zh-CN"/>
        </w:rPr>
      </w:pPr>
      <w:r>
        <w:rPr>
          <w:rFonts w:hint="eastAsia" w:ascii="宋体" w:hAnsi="宋体" w:eastAsia="宋体" w:cs="宋体"/>
          <w:b w:val="0"/>
          <w:bCs/>
          <w:sz w:val="21"/>
          <w:szCs w:val="21"/>
        </w:rPr>
        <w:t>2. 全流程管控成为硬性要求</w:t>
      </w:r>
      <w:r>
        <w:rPr>
          <w:rFonts w:hint="eastAsia" w:ascii="宋体" w:hAnsi="宋体" w:eastAsia="宋体" w:cs="宋体"/>
          <w:b w:val="0"/>
          <w:bCs/>
          <w:sz w:val="21"/>
          <w:szCs w:val="21"/>
          <w:lang w:eastAsia="zh-CN"/>
        </w:rPr>
        <w:t>：</w:t>
      </w:r>
    </w:p>
    <w:p w14:paraId="581592E7">
      <w:pPr>
        <w:pageBreakBefore w:val="0"/>
        <w:kinsoku/>
        <w:wordWrap/>
        <w:overflowPunct/>
        <w:topLinePunct w:val="0"/>
        <w:autoSpaceDE/>
        <w:autoSpaceDN/>
        <w:bidi w:val="0"/>
        <w:adjustRightInd/>
        <w:snapToGrid/>
        <w:spacing w:line="400" w:lineRule="atLeast"/>
        <w:ind w:firstLine="420" w:firstLineChars="200"/>
        <w:textAlignment w:val="auto"/>
        <w:rPr>
          <w:rFonts w:hint="eastAsia" w:ascii="宋体" w:hAnsi="宋体" w:eastAsia="宋体" w:cs="宋体"/>
          <w:b w:val="0"/>
          <w:bCs/>
          <w:sz w:val="21"/>
          <w:szCs w:val="21"/>
        </w:rPr>
      </w:pPr>
      <w:r>
        <w:rPr>
          <w:rFonts w:hint="eastAsia" w:ascii="宋体" w:hAnsi="宋体" w:eastAsia="宋体" w:cs="宋体"/>
          <w:b w:val="0"/>
          <w:bCs/>
          <w:sz w:val="21"/>
          <w:szCs w:val="21"/>
          <w:lang w:eastAsia="zh-CN"/>
        </w:rPr>
        <w:t>新标</w:t>
      </w:r>
      <w:r>
        <w:rPr>
          <w:rFonts w:hint="eastAsia" w:ascii="宋体" w:hAnsi="宋体" w:eastAsia="宋体" w:cs="宋体"/>
          <w:b w:val="0"/>
          <w:bCs/>
          <w:sz w:val="21"/>
          <w:szCs w:val="21"/>
        </w:rPr>
        <w:t>对工业废硫酸处理处置的全链条提出了明确要求，企业在项目设计中需要重点关注以下环节：</w:t>
      </w:r>
    </w:p>
    <w:p w14:paraId="18CC6806">
      <w:pPr>
        <w:pageBreakBefore w:val="0"/>
        <w:kinsoku/>
        <w:wordWrap/>
        <w:overflowPunct/>
        <w:topLinePunct w:val="0"/>
        <w:autoSpaceDE/>
        <w:autoSpaceDN/>
        <w:bidi w:val="0"/>
        <w:adjustRightInd/>
        <w:snapToGrid/>
        <w:spacing w:line="400" w:lineRule="atLeast"/>
        <w:ind w:firstLine="420" w:firstLineChars="200"/>
        <w:textAlignment w:val="auto"/>
        <w:rPr>
          <w:rFonts w:hint="eastAsia" w:ascii="宋体" w:hAnsi="宋体" w:eastAsia="宋体" w:cs="宋体"/>
          <w:b w:val="0"/>
          <w:bCs/>
          <w:sz w:val="21"/>
          <w:szCs w:val="21"/>
        </w:rPr>
      </w:pPr>
      <w:r>
        <w:rPr>
          <w:rFonts w:hint="eastAsia" w:ascii="宋体" w:hAnsi="宋体" w:eastAsia="宋体" w:cs="宋体"/>
          <w:b w:val="0"/>
          <w:bCs/>
          <w:sz w:val="21"/>
          <w:szCs w:val="21"/>
        </w:rPr>
        <w:t>运输与转移：运输单位需具备危险货物运输资质，车辆需悬挂专用标志，转移过程严格执行危险废物转移联单制度；收集时需使用专用耐酸运输车辆，避免泄漏与擅自倾倒。</w:t>
      </w:r>
    </w:p>
    <w:p w14:paraId="0B950077">
      <w:pPr>
        <w:pageBreakBefore w:val="0"/>
        <w:kinsoku/>
        <w:wordWrap/>
        <w:overflowPunct/>
        <w:topLinePunct w:val="0"/>
        <w:autoSpaceDE/>
        <w:autoSpaceDN/>
        <w:bidi w:val="0"/>
        <w:adjustRightInd/>
        <w:snapToGrid/>
        <w:spacing w:line="400" w:lineRule="atLeast"/>
        <w:ind w:firstLine="420" w:firstLineChars="200"/>
        <w:textAlignment w:val="auto"/>
        <w:rPr>
          <w:rFonts w:hint="eastAsia" w:ascii="宋体" w:hAnsi="宋体" w:eastAsia="宋体" w:cs="宋体"/>
          <w:b w:val="0"/>
          <w:bCs/>
          <w:sz w:val="21"/>
          <w:szCs w:val="21"/>
        </w:rPr>
      </w:pPr>
      <w:r>
        <w:rPr>
          <w:rFonts w:hint="eastAsia" w:ascii="宋体" w:hAnsi="宋体" w:eastAsia="宋体" w:cs="宋体"/>
          <w:b w:val="0"/>
          <w:bCs/>
          <w:sz w:val="21"/>
          <w:szCs w:val="21"/>
        </w:rPr>
        <w:t>入厂与贮存：处理处置企业需制定废硫酸进厂标准与预验收程序，实验室需具备相应检测能力；贮存设施需符合GB 18597（危险废物贮存污染控制标准），含反应性物质的废硫酸需单独存放，无机酸与碱性物质、有机酸不得混贮。</w:t>
      </w:r>
    </w:p>
    <w:p w14:paraId="75EC357C">
      <w:pPr>
        <w:pageBreakBefore w:val="0"/>
        <w:kinsoku/>
        <w:wordWrap/>
        <w:overflowPunct/>
        <w:topLinePunct w:val="0"/>
        <w:autoSpaceDE/>
        <w:autoSpaceDN/>
        <w:bidi w:val="0"/>
        <w:adjustRightInd/>
        <w:snapToGrid/>
        <w:spacing w:line="400" w:lineRule="atLeast"/>
        <w:ind w:firstLine="420" w:firstLineChars="200"/>
        <w:textAlignment w:val="auto"/>
        <w:rPr>
          <w:rFonts w:hint="eastAsia" w:ascii="宋体" w:hAnsi="宋体" w:eastAsia="宋体" w:cs="宋体"/>
          <w:b w:val="0"/>
          <w:bCs/>
          <w:sz w:val="21"/>
          <w:szCs w:val="21"/>
        </w:rPr>
      </w:pPr>
      <w:r>
        <w:rPr>
          <w:rFonts w:hint="eastAsia" w:ascii="宋体" w:hAnsi="宋体" w:eastAsia="宋体" w:cs="宋体"/>
          <w:b w:val="0"/>
          <w:bCs/>
          <w:sz w:val="21"/>
          <w:szCs w:val="21"/>
        </w:rPr>
        <w:t>贮存时间：新规明确要求贮存时间原则上不超过1年，这在项目设计时需要充分考虑贮存设施的建设规模。</w:t>
      </w:r>
    </w:p>
    <w:p w14:paraId="4220B711">
      <w:pPr>
        <w:pageBreakBefore w:val="0"/>
        <w:kinsoku/>
        <w:wordWrap/>
        <w:overflowPunct/>
        <w:topLinePunct w:val="0"/>
        <w:autoSpaceDE/>
        <w:autoSpaceDN/>
        <w:bidi w:val="0"/>
        <w:adjustRightInd/>
        <w:snapToGrid/>
        <w:spacing w:line="400" w:lineRule="atLeast"/>
        <w:ind w:firstLine="420" w:firstLineChars="200"/>
        <w:textAlignment w:val="auto"/>
        <w:rPr>
          <w:rFonts w:hint="eastAsia" w:ascii="宋体" w:hAnsi="宋体" w:eastAsia="宋体" w:cs="宋体"/>
          <w:b w:val="0"/>
          <w:bCs/>
          <w:sz w:val="21"/>
          <w:szCs w:val="21"/>
          <w:lang w:eastAsia="zh-CN"/>
        </w:rPr>
      </w:pPr>
      <w:r>
        <w:rPr>
          <w:rFonts w:hint="eastAsia" w:ascii="宋体" w:hAnsi="宋体" w:eastAsia="宋体" w:cs="宋体"/>
          <w:b w:val="0"/>
          <w:bCs/>
          <w:sz w:val="21"/>
          <w:szCs w:val="21"/>
        </w:rPr>
        <w:t>3. 资源化利用方向更加明确</w:t>
      </w:r>
      <w:r>
        <w:rPr>
          <w:rFonts w:hint="eastAsia" w:ascii="宋体" w:hAnsi="宋体" w:eastAsia="宋体" w:cs="宋体"/>
          <w:b w:val="0"/>
          <w:bCs/>
          <w:sz w:val="21"/>
          <w:szCs w:val="21"/>
          <w:lang w:eastAsia="zh-CN"/>
        </w:rPr>
        <w:t>：</w:t>
      </w:r>
    </w:p>
    <w:p w14:paraId="7B665DA6">
      <w:pPr>
        <w:pageBreakBefore w:val="0"/>
        <w:kinsoku/>
        <w:wordWrap/>
        <w:overflowPunct/>
        <w:topLinePunct w:val="0"/>
        <w:autoSpaceDE/>
        <w:autoSpaceDN/>
        <w:bidi w:val="0"/>
        <w:adjustRightInd/>
        <w:snapToGrid/>
        <w:spacing w:line="400" w:lineRule="atLeast"/>
        <w:ind w:firstLine="420" w:firstLineChars="200"/>
        <w:textAlignment w:val="auto"/>
        <w:rPr>
          <w:rFonts w:hint="eastAsia" w:ascii="宋体" w:hAnsi="宋体" w:eastAsia="宋体" w:cs="宋体"/>
          <w:b w:val="0"/>
          <w:bCs/>
          <w:sz w:val="21"/>
          <w:szCs w:val="21"/>
        </w:rPr>
      </w:pPr>
      <w:r>
        <w:rPr>
          <w:rFonts w:hint="eastAsia" w:ascii="宋体" w:hAnsi="宋体" w:eastAsia="宋体" w:cs="宋体"/>
          <w:b w:val="0"/>
          <w:bCs/>
          <w:sz w:val="21"/>
          <w:szCs w:val="21"/>
          <w:lang w:eastAsia="zh-CN"/>
        </w:rPr>
        <w:t>新标</w:t>
      </w:r>
      <w:r>
        <w:rPr>
          <w:rFonts w:hint="eastAsia" w:ascii="宋体" w:hAnsi="宋体" w:eastAsia="宋体" w:cs="宋体"/>
          <w:b w:val="0"/>
          <w:bCs/>
          <w:sz w:val="21"/>
          <w:szCs w:val="21"/>
        </w:rPr>
        <w:t>针对不同行业产生的废硫酸特性，明确了资源化制备产品的方向和要求：</w:t>
      </w:r>
    </w:p>
    <w:p w14:paraId="73199E5C">
      <w:pPr>
        <w:pageBreakBefore w:val="0"/>
        <w:kinsoku/>
        <w:wordWrap/>
        <w:overflowPunct/>
        <w:topLinePunct w:val="0"/>
        <w:autoSpaceDE/>
        <w:autoSpaceDN/>
        <w:bidi w:val="0"/>
        <w:adjustRightInd/>
        <w:snapToGrid/>
        <w:spacing w:line="400" w:lineRule="atLeast"/>
        <w:ind w:firstLine="420" w:firstLineChars="200"/>
        <w:textAlignment w:val="auto"/>
        <w:rPr>
          <w:rFonts w:hint="eastAsia" w:ascii="宋体" w:hAnsi="宋体" w:eastAsia="宋体" w:cs="宋体"/>
          <w:b w:val="0"/>
          <w:bCs/>
          <w:sz w:val="21"/>
          <w:szCs w:val="21"/>
        </w:rPr>
      </w:pPr>
      <w:r>
        <w:rPr>
          <w:rFonts w:hint="eastAsia" w:ascii="宋体" w:hAnsi="宋体" w:eastAsia="宋体" w:cs="宋体"/>
          <w:b w:val="0"/>
          <w:bCs/>
          <w:sz w:val="21"/>
          <w:szCs w:val="21"/>
        </w:rPr>
        <w:t>针对钢铁酸洗、铝材清洗等特定来源废硫酸，可制备聚合硫酸铁、硫酸铝、硫酸镁等产品。但标准同时规定，用硫酸法钛白废硫酸制备聚合硫酸铁时，产品需符合GB/T 14591标准</w:t>
      </w:r>
      <w:r>
        <w:rPr>
          <w:rFonts w:hint="eastAsia" w:ascii="宋体" w:hAnsi="宋体" w:eastAsia="宋体" w:cs="宋体"/>
          <w:b w:val="0"/>
          <w:bCs/>
          <w:sz w:val="21"/>
          <w:szCs w:val="21"/>
          <w:lang w:eastAsia="zh-CN"/>
        </w:rPr>
        <w:t>（</w:t>
      </w:r>
      <w:r>
        <w:rPr>
          <w:rFonts w:hint="eastAsia" w:ascii="宋体" w:hAnsi="宋体" w:eastAsia="宋体" w:cs="宋体"/>
          <w:b w:val="0"/>
          <w:bCs/>
          <w:sz w:val="21"/>
          <w:szCs w:val="21"/>
          <w:lang w:val="en-US" w:eastAsia="zh-CN"/>
        </w:rPr>
        <w:t>砷≤0.0005%、铅≤0.001%</w:t>
      </w:r>
      <w:r>
        <w:rPr>
          <w:rFonts w:hint="eastAsia" w:ascii="宋体" w:hAnsi="宋体" w:eastAsia="宋体" w:cs="宋体"/>
          <w:b w:val="0"/>
          <w:bCs/>
          <w:sz w:val="21"/>
          <w:szCs w:val="21"/>
          <w:lang w:eastAsia="zh-CN"/>
        </w:rPr>
        <w:t>）</w:t>
      </w:r>
      <w:r>
        <w:rPr>
          <w:rFonts w:hint="eastAsia" w:ascii="宋体" w:hAnsi="宋体" w:eastAsia="宋体" w:cs="宋体"/>
          <w:b w:val="0"/>
          <w:bCs/>
          <w:sz w:val="21"/>
          <w:szCs w:val="21"/>
        </w:rPr>
        <w:t>，且</w:t>
      </w:r>
      <w:r>
        <w:rPr>
          <w:rFonts w:hint="eastAsia" w:ascii="宋体" w:hAnsi="宋体" w:eastAsia="宋体" w:cs="宋体"/>
          <w:b w:val="0"/>
          <w:bCs/>
          <w:sz w:val="21"/>
          <w:szCs w:val="21"/>
          <w:lang w:val="en-US" w:eastAsia="zh-CN"/>
        </w:rPr>
        <w:t>严禁</w:t>
      </w:r>
      <w:r>
        <w:rPr>
          <w:rFonts w:hint="eastAsia" w:ascii="宋体" w:hAnsi="宋体" w:eastAsia="宋体" w:cs="宋体"/>
          <w:b w:val="0"/>
          <w:bCs/>
          <w:sz w:val="21"/>
          <w:szCs w:val="21"/>
        </w:rPr>
        <w:t>用于饮用水净化。</w:t>
      </w:r>
    </w:p>
    <w:p w14:paraId="49651B82">
      <w:pPr>
        <w:pageBreakBefore w:val="0"/>
        <w:kinsoku/>
        <w:wordWrap/>
        <w:overflowPunct/>
        <w:topLinePunct w:val="0"/>
        <w:autoSpaceDE/>
        <w:autoSpaceDN/>
        <w:bidi w:val="0"/>
        <w:adjustRightInd/>
        <w:snapToGrid/>
        <w:spacing w:line="400" w:lineRule="atLeast"/>
        <w:ind w:firstLine="420" w:firstLineChars="200"/>
        <w:textAlignment w:val="auto"/>
        <w:rPr>
          <w:rFonts w:hint="eastAsia" w:ascii="宋体" w:hAnsi="宋体" w:eastAsia="宋体" w:cs="宋体"/>
          <w:b w:val="0"/>
          <w:bCs/>
          <w:sz w:val="21"/>
          <w:szCs w:val="21"/>
        </w:rPr>
      </w:pPr>
      <w:r>
        <w:rPr>
          <w:rFonts w:hint="eastAsia" w:ascii="宋体" w:hAnsi="宋体" w:eastAsia="宋体" w:cs="宋体"/>
          <w:b w:val="0"/>
          <w:bCs/>
          <w:sz w:val="21"/>
          <w:szCs w:val="21"/>
        </w:rPr>
        <w:t>这一明确指引为项目设计中的产品方向选择提供了依据，同时也设置了必要的安全边界。</w:t>
      </w:r>
    </w:p>
    <w:p w14:paraId="281DC099">
      <w:pPr>
        <w:pageBreakBefore w:val="0"/>
        <w:kinsoku/>
        <w:wordWrap/>
        <w:overflowPunct/>
        <w:topLinePunct w:val="0"/>
        <w:autoSpaceDE/>
        <w:autoSpaceDN/>
        <w:bidi w:val="0"/>
        <w:adjustRightInd/>
        <w:snapToGrid/>
        <w:spacing w:line="400" w:lineRule="atLeast"/>
        <w:ind w:firstLine="420" w:firstLineChars="200"/>
        <w:textAlignment w:val="auto"/>
        <w:rPr>
          <w:rFonts w:hint="eastAsia" w:ascii="宋体" w:hAnsi="宋体" w:eastAsia="宋体" w:cs="宋体"/>
          <w:b w:val="0"/>
          <w:bCs/>
          <w:sz w:val="21"/>
          <w:szCs w:val="21"/>
          <w:lang w:eastAsia="zh-CN"/>
        </w:rPr>
      </w:pPr>
      <w:r>
        <w:rPr>
          <w:rFonts w:hint="eastAsia" w:ascii="宋体" w:hAnsi="宋体" w:eastAsia="宋体" w:cs="宋体"/>
          <w:b w:val="0"/>
          <w:bCs/>
          <w:sz w:val="21"/>
          <w:szCs w:val="21"/>
        </w:rPr>
        <w:t>4. 环境保护要求全面提升</w:t>
      </w:r>
      <w:r>
        <w:rPr>
          <w:rFonts w:hint="eastAsia" w:ascii="宋体" w:hAnsi="宋体" w:eastAsia="宋体" w:cs="宋体"/>
          <w:b w:val="0"/>
          <w:bCs/>
          <w:sz w:val="21"/>
          <w:szCs w:val="21"/>
          <w:lang w:eastAsia="zh-CN"/>
        </w:rPr>
        <w:t>：</w:t>
      </w:r>
    </w:p>
    <w:p w14:paraId="0948325C">
      <w:pPr>
        <w:pageBreakBefore w:val="0"/>
        <w:kinsoku/>
        <w:wordWrap/>
        <w:overflowPunct/>
        <w:topLinePunct w:val="0"/>
        <w:autoSpaceDE/>
        <w:autoSpaceDN/>
        <w:bidi w:val="0"/>
        <w:adjustRightInd/>
        <w:snapToGrid/>
        <w:spacing w:line="400" w:lineRule="atLeast"/>
        <w:ind w:firstLine="420" w:firstLineChars="200"/>
        <w:textAlignment w:val="auto"/>
        <w:rPr>
          <w:rFonts w:hint="eastAsia" w:ascii="宋体" w:hAnsi="宋体" w:eastAsia="宋体" w:cs="宋体"/>
          <w:b w:val="0"/>
          <w:bCs/>
          <w:sz w:val="21"/>
          <w:szCs w:val="21"/>
        </w:rPr>
      </w:pPr>
      <w:r>
        <w:rPr>
          <w:rFonts w:hint="eastAsia" w:ascii="宋体" w:hAnsi="宋体" w:eastAsia="宋体" w:cs="宋体"/>
          <w:b w:val="0"/>
          <w:bCs/>
          <w:sz w:val="21"/>
          <w:szCs w:val="21"/>
          <w:lang w:eastAsia="zh-CN"/>
        </w:rPr>
        <w:t>新标</w:t>
      </w:r>
      <w:r>
        <w:rPr>
          <w:rFonts w:hint="eastAsia" w:ascii="宋体" w:hAnsi="宋体" w:eastAsia="宋体" w:cs="宋体"/>
          <w:b w:val="0"/>
          <w:bCs/>
          <w:sz w:val="21"/>
          <w:szCs w:val="21"/>
        </w:rPr>
        <w:t>对环境保护提出了更高要求，项目设计需要充分考虑：</w:t>
      </w:r>
    </w:p>
    <w:p w14:paraId="58E7D7C6">
      <w:pPr>
        <w:pageBreakBefore w:val="0"/>
        <w:kinsoku/>
        <w:wordWrap/>
        <w:overflowPunct/>
        <w:topLinePunct w:val="0"/>
        <w:autoSpaceDE/>
        <w:autoSpaceDN/>
        <w:bidi w:val="0"/>
        <w:adjustRightInd/>
        <w:snapToGrid/>
        <w:spacing w:line="400" w:lineRule="atLeast"/>
        <w:ind w:firstLine="420" w:firstLineChars="200"/>
        <w:textAlignment w:val="auto"/>
        <w:rPr>
          <w:rFonts w:hint="eastAsia" w:ascii="宋体" w:hAnsi="宋体" w:eastAsia="宋体" w:cs="宋体"/>
          <w:b w:val="0"/>
          <w:bCs/>
          <w:sz w:val="21"/>
          <w:szCs w:val="21"/>
        </w:rPr>
      </w:pPr>
      <w:r>
        <w:rPr>
          <w:rFonts w:hint="eastAsia" w:ascii="宋体" w:hAnsi="宋体" w:eastAsia="宋体" w:cs="宋体"/>
          <w:b w:val="0"/>
          <w:bCs/>
          <w:sz w:val="21"/>
          <w:szCs w:val="21"/>
        </w:rPr>
        <w:t>废气排放需符合GB 16297（大气污染物综合排放标准）、GB 18484（危险废物焚烧污染控制标准）。</w:t>
      </w:r>
    </w:p>
    <w:p w14:paraId="05BA7393">
      <w:pPr>
        <w:pageBreakBefore w:val="0"/>
        <w:kinsoku/>
        <w:wordWrap/>
        <w:overflowPunct/>
        <w:topLinePunct w:val="0"/>
        <w:autoSpaceDE/>
        <w:autoSpaceDN/>
        <w:bidi w:val="0"/>
        <w:adjustRightInd/>
        <w:snapToGrid/>
        <w:spacing w:line="400" w:lineRule="atLeast"/>
        <w:ind w:firstLine="420" w:firstLineChars="200"/>
        <w:textAlignment w:val="auto"/>
        <w:rPr>
          <w:rFonts w:hint="eastAsia" w:ascii="宋体" w:hAnsi="宋体" w:eastAsia="宋体" w:cs="宋体"/>
          <w:b w:val="0"/>
          <w:bCs/>
          <w:sz w:val="21"/>
          <w:szCs w:val="21"/>
        </w:rPr>
      </w:pPr>
      <w:r>
        <w:rPr>
          <w:rFonts w:hint="eastAsia" w:ascii="宋体" w:hAnsi="宋体" w:eastAsia="宋体" w:cs="宋体"/>
          <w:b w:val="0"/>
          <w:bCs/>
          <w:sz w:val="21"/>
          <w:szCs w:val="21"/>
        </w:rPr>
        <w:t>废水处理后若循环使用需满足生产要求，外排需符合GB 8978（污水综合排放标准）。</w:t>
      </w:r>
    </w:p>
    <w:p w14:paraId="1DF399E9">
      <w:pPr>
        <w:pageBreakBefore w:val="0"/>
        <w:kinsoku/>
        <w:wordWrap/>
        <w:overflowPunct/>
        <w:topLinePunct w:val="0"/>
        <w:autoSpaceDE/>
        <w:autoSpaceDN/>
        <w:bidi w:val="0"/>
        <w:adjustRightInd/>
        <w:snapToGrid/>
        <w:spacing w:line="400" w:lineRule="atLeast"/>
        <w:ind w:firstLine="420" w:firstLineChars="200"/>
        <w:textAlignment w:val="auto"/>
        <w:rPr>
          <w:rFonts w:hint="eastAsia" w:ascii="宋体" w:hAnsi="宋体" w:eastAsia="宋体" w:cs="宋体"/>
          <w:b w:val="0"/>
          <w:bCs/>
          <w:sz w:val="21"/>
          <w:szCs w:val="21"/>
        </w:rPr>
      </w:pPr>
      <w:r>
        <w:rPr>
          <w:rFonts w:hint="eastAsia" w:ascii="宋体" w:hAnsi="宋体" w:eastAsia="宋体" w:cs="宋体"/>
          <w:b w:val="0"/>
          <w:bCs/>
          <w:sz w:val="21"/>
          <w:szCs w:val="21"/>
        </w:rPr>
        <w:t>固体废物需按法规要求规范处置。</w:t>
      </w:r>
    </w:p>
    <w:p w14:paraId="769A0D64">
      <w:pPr>
        <w:pageBreakBefore w:val="0"/>
        <w:kinsoku/>
        <w:wordWrap/>
        <w:overflowPunct/>
        <w:topLinePunct w:val="0"/>
        <w:autoSpaceDE/>
        <w:autoSpaceDN/>
        <w:bidi w:val="0"/>
        <w:adjustRightInd/>
        <w:snapToGrid/>
        <w:spacing w:line="400" w:lineRule="atLeast"/>
        <w:ind w:firstLine="422" w:firstLineChars="200"/>
        <w:textAlignment w:val="auto"/>
        <w:rPr>
          <w:rFonts w:hint="eastAsia" w:ascii="宋体" w:hAnsi="宋体" w:eastAsia="宋体" w:cs="宋体"/>
          <w:b/>
          <w:bCs w:val="0"/>
          <w:sz w:val="21"/>
          <w:szCs w:val="21"/>
        </w:rPr>
      </w:pPr>
      <w:r>
        <w:rPr>
          <w:rFonts w:hint="eastAsia" w:ascii="宋体" w:hAnsi="宋体" w:eastAsia="宋体" w:cs="宋体"/>
          <w:b/>
          <w:bCs w:val="0"/>
          <w:sz w:val="21"/>
          <w:szCs w:val="21"/>
        </w:rPr>
        <w:t>三、</w:t>
      </w:r>
      <w:r>
        <w:rPr>
          <w:rFonts w:hint="eastAsia" w:ascii="宋体" w:hAnsi="宋体" w:eastAsia="宋体" w:cs="宋体"/>
          <w:b/>
          <w:bCs w:val="0"/>
          <w:sz w:val="21"/>
          <w:szCs w:val="21"/>
          <w:lang w:val="en-US" w:eastAsia="zh-CN"/>
        </w:rPr>
        <w:t>相关</w:t>
      </w:r>
      <w:r>
        <w:rPr>
          <w:rFonts w:hint="eastAsia" w:ascii="宋体" w:hAnsi="宋体" w:eastAsia="宋体" w:cs="宋体"/>
          <w:b/>
          <w:bCs w:val="0"/>
          <w:sz w:val="21"/>
          <w:szCs w:val="21"/>
        </w:rPr>
        <w:t>企业应对建议</w:t>
      </w:r>
    </w:p>
    <w:p w14:paraId="6741570E">
      <w:pPr>
        <w:pageBreakBefore w:val="0"/>
        <w:kinsoku/>
        <w:wordWrap/>
        <w:overflowPunct/>
        <w:topLinePunct w:val="0"/>
        <w:autoSpaceDE/>
        <w:autoSpaceDN/>
        <w:bidi w:val="0"/>
        <w:adjustRightInd/>
        <w:snapToGrid/>
        <w:spacing w:line="400" w:lineRule="atLeast"/>
        <w:ind w:firstLine="420" w:firstLineChars="200"/>
        <w:textAlignment w:val="auto"/>
        <w:rPr>
          <w:rFonts w:hint="eastAsia" w:ascii="宋体" w:hAnsi="宋体" w:eastAsia="宋体" w:cs="宋体"/>
          <w:b w:val="0"/>
          <w:bCs/>
          <w:sz w:val="21"/>
          <w:szCs w:val="21"/>
        </w:rPr>
      </w:pPr>
      <w:r>
        <w:rPr>
          <w:rFonts w:hint="eastAsia" w:ascii="宋体" w:hAnsi="宋体" w:eastAsia="宋体" w:cs="宋体"/>
          <w:b w:val="0"/>
          <w:bCs/>
          <w:sz w:val="21"/>
          <w:szCs w:val="21"/>
        </w:rPr>
        <w:t>面对</w:t>
      </w:r>
      <w:r>
        <w:rPr>
          <w:rFonts w:hint="eastAsia" w:ascii="宋体" w:hAnsi="宋体" w:eastAsia="宋体" w:cs="宋体"/>
          <w:b w:val="0"/>
          <w:bCs/>
          <w:sz w:val="21"/>
          <w:szCs w:val="21"/>
          <w:lang w:eastAsia="zh-CN"/>
        </w:rPr>
        <w:t>新标</w:t>
      </w:r>
      <w:r>
        <w:rPr>
          <w:rFonts w:hint="eastAsia" w:ascii="宋体" w:hAnsi="宋体" w:eastAsia="宋体" w:cs="宋体"/>
          <w:b w:val="0"/>
          <w:bCs/>
          <w:sz w:val="21"/>
          <w:szCs w:val="21"/>
        </w:rPr>
        <w:t>的要求，相关企业可以从以下三方面做好准备：</w:t>
      </w:r>
    </w:p>
    <w:p w14:paraId="67221C9B">
      <w:pPr>
        <w:pageBreakBefore w:val="0"/>
        <w:kinsoku/>
        <w:wordWrap/>
        <w:overflowPunct/>
        <w:topLinePunct w:val="0"/>
        <w:autoSpaceDE/>
        <w:autoSpaceDN/>
        <w:bidi w:val="0"/>
        <w:adjustRightInd/>
        <w:snapToGrid/>
        <w:spacing w:line="400" w:lineRule="atLeast"/>
        <w:ind w:firstLine="420" w:firstLineChars="200"/>
        <w:textAlignment w:val="auto"/>
        <w:rPr>
          <w:rFonts w:hint="eastAsia" w:ascii="宋体" w:hAnsi="宋体" w:eastAsia="宋体" w:cs="宋体"/>
          <w:b w:val="0"/>
          <w:bCs/>
          <w:sz w:val="21"/>
          <w:szCs w:val="21"/>
        </w:rPr>
      </w:pPr>
      <w:r>
        <w:rPr>
          <w:rFonts w:hint="eastAsia" w:ascii="宋体" w:hAnsi="宋体" w:eastAsia="宋体" w:cs="宋体"/>
          <w:b w:val="0"/>
          <w:bCs/>
          <w:sz w:val="21"/>
          <w:szCs w:val="21"/>
        </w:rPr>
        <w:t>技术适配：对照新版国标推荐的处理方法，评估现有技术设备是否符合要求。特别是涉及高浓度有机废硫酸处理的企业，可调研高温裂解法的工艺参数与设备改造需求。</w:t>
      </w:r>
    </w:p>
    <w:p w14:paraId="585B2C8B">
      <w:pPr>
        <w:pageBreakBefore w:val="0"/>
        <w:kinsoku/>
        <w:wordWrap/>
        <w:overflowPunct/>
        <w:topLinePunct w:val="0"/>
        <w:autoSpaceDE/>
        <w:autoSpaceDN/>
        <w:bidi w:val="0"/>
        <w:adjustRightInd/>
        <w:snapToGrid/>
        <w:spacing w:line="400" w:lineRule="atLeast"/>
        <w:ind w:firstLine="420" w:firstLineChars="200"/>
        <w:textAlignment w:val="auto"/>
        <w:rPr>
          <w:rFonts w:hint="eastAsia" w:ascii="宋体" w:hAnsi="宋体" w:eastAsia="宋体" w:cs="宋体"/>
          <w:b w:val="0"/>
          <w:bCs/>
          <w:sz w:val="21"/>
          <w:szCs w:val="21"/>
        </w:rPr>
      </w:pPr>
      <w:r>
        <w:rPr>
          <w:rFonts w:hint="eastAsia" w:ascii="宋体" w:hAnsi="宋体" w:eastAsia="宋体" w:cs="宋体"/>
          <w:b w:val="0"/>
          <w:bCs/>
          <w:sz w:val="21"/>
          <w:szCs w:val="21"/>
        </w:rPr>
        <w:t>制度完善：建立废硫酸收集、处理数据信息管理系统，确保与全国或地方固体废物管理系统数据对接；完善贮存、运输、应急处置等管理制度，补充人员培训与资质核验流程。</w:t>
      </w:r>
    </w:p>
    <w:p w14:paraId="7F68C0E4">
      <w:pPr>
        <w:pageBreakBefore w:val="0"/>
        <w:kinsoku/>
        <w:wordWrap/>
        <w:overflowPunct/>
        <w:topLinePunct w:val="0"/>
        <w:autoSpaceDE/>
        <w:autoSpaceDN/>
        <w:bidi w:val="0"/>
        <w:adjustRightInd/>
        <w:snapToGrid/>
        <w:spacing w:line="400" w:lineRule="atLeast"/>
        <w:ind w:firstLine="420" w:firstLineChars="200"/>
        <w:textAlignment w:val="auto"/>
        <w:rPr>
          <w:rFonts w:hint="eastAsia" w:ascii="宋体" w:hAnsi="宋体" w:eastAsia="宋体" w:cs="宋体"/>
          <w:b w:val="0"/>
          <w:bCs/>
          <w:sz w:val="21"/>
          <w:szCs w:val="21"/>
        </w:rPr>
      </w:pPr>
      <w:r>
        <w:rPr>
          <w:rFonts w:hint="eastAsia" w:ascii="宋体" w:hAnsi="宋体" w:eastAsia="宋体" w:cs="宋体"/>
          <w:b w:val="0"/>
          <w:bCs/>
          <w:sz w:val="21"/>
          <w:szCs w:val="21"/>
        </w:rPr>
        <w:t>标准学习：深入研读国标全文及配套引用文件（如GB 18597、GB/T 40124等），明确产品控制指标与环保要求，避免因对标准理解偏差导致合规风险。</w:t>
      </w:r>
    </w:p>
    <w:p w14:paraId="10017320">
      <w:pPr>
        <w:pageBreakBefore w:val="0"/>
        <w:kinsoku/>
        <w:wordWrap/>
        <w:overflowPunct/>
        <w:topLinePunct w:val="0"/>
        <w:autoSpaceDE/>
        <w:autoSpaceDN/>
        <w:bidi w:val="0"/>
        <w:adjustRightInd/>
        <w:snapToGrid/>
        <w:spacing w:line="400" w:lineRule="atLeast"/>
        <w:ind w:firstLine="420" w:firstLineChars="200"/>
        <w:textAlignment w:val="auto"/>
        <w:rPr>
          <w:rFonts w:hint="eastAsia" w:ascii="宋体" w:hAnsi="宋体" w:eastAsia="宋体" w:cs="宋体"/>
          <w:b w:val="0"/>
          <w:bCs/>
          <w:kern w:val="0"/>
          <w:sz w:val="21"/>
          <w:szCs w:val="21"/>
          <w:lang w:val="en-US" w:eastAsia="zh-CN" w:bidi="ar"/>
        </w:rPr>
      </w:pPr>
      <w:r>
        <w:rPr>
          <w:rFonts w:hint="eastAsia" w:ascii="宋体" w:hAnsi="宋体" w:eastAsia="宋体" w:cs="宋体"/>
          <w:b w:val="0"/>
          <w:bCs/>
          <w:kern w:val="0"/>
          <w:sz w:val="21"/>
          <w:szCs w:val="21"/>
          <w:lang w:val="en-US" w:eastAsia="zh-CN" w:bidi="ar"/>
        </w:rPr>
        <w:t>梳理产物去向：若资源化产物面向市场销售，需确保符合对应产品标准；内部使用的需留存自检报告；</w:t>
      </w:r>
    </w:p>
    <w:p w14:paraId="002AF66A">
      <w:pPr>
        <w:pageBreakBefore w:val="0"/>
        <w:kinsoku/>
        <w:wordWrap/>
        <w:overflowPunct/>
        <w:topLinePunct w:val="0"/>
        <w:autoSpaceDE/>
        <w:autoSpaceDN/>
        <w:bidi w:val="0"/>
        <w:adjustRightInd/>
        <w:snapToGrid/>
        <w:spacing w:line="400" w:lineRule="atLeast"/>
        <w:ind w:firstLine="420" w:firstLineChars="200"/>
        <w:textAlignment w:val="auto"/>
        <w:rPr>
          <w:rFonts w:hint="eastAsia" w:ascii="宋体" w:hAnsi="宋体" w:eastAsia="宋体" w:cs="宋体"/>
          <w:b w:val="0"/>
          <w:bCs/>
          <w:sz w:val="21"/>
          <w:szCs w:val="21"/>
        </w:rPr>
      </w:pPr>
      <w:r>
        <w:rPr>
          <w:rFonts w:hint="eastAsia" w:ascii="宋体" w:hAnsi="宋体" w:eastAsia="宋体" w:cs="宋体"/>
          <w:b w:val="0"/>
          <w:bCs/>
          <w:kern w:val="0"/>
          <w:sz w:val="21"/>
          <w:szCs w:val="21"/>
          <w:lang w:val="en-US" w:eastAsia="zh-CN" w:bidi="ar"/>
        </w:rPr>
        <w:t>过渡期倒计时：2026 年 2 月 1 日前完成工艺调整、人员培训、台账完善，避免因未达标被处罚。</w:t>
      </w:r>
    </w:p>
    <w:p w14:paraId="011F5E7A">
      <w:pPr>
        <w:pageBreakBefore w:val="0"/>
        <w:kinsoku/>
        <w:wordWrap/>
        <w:overflowPunct/>
        <w:topLinePunct w:val="0"/>
        <w:autoSpaceDE/>
        <w:autoSpaceDN/>
        <w:bidi w:val="0"/>
        <w:adjustRightInd/>
        <w:snapToGrid/>
        <w:spacing w:line="400" w:lineRule="atLeast"/>
        <w:ind w:firstLine="422" w:firstLineChars="200"/>
        <w:textAlignment w:val="auto"/>
        <w:rPr>
          <w:rFonts w:hint="eastAsia" w:ascii="宋体" w:hAnsi="宋体" w:eastAsia="宋体" w:cs="宋体"/>
          <w:b/>
          <w:bCs w:val="0"/>
          <w:sz w:val="21"/>
          <w:szCs w:val="21"/>
        </w:rPr>
      </w:pPr>
      <w:r>
        <w:rPr>
          <w:rFonts w:hint="eastAsia" w:ascii="宋体" w:hAnsi="宋体" w:eastAsia="宋体" w:cs="宋体"/>
          <w:b/>
          <w:bCs w:val="0"/>
          <w:sz w:val="21"/>
          <w:szCs w:val="21"/>
        </w:rPr>
        <w:t>四、小结：迈向规范化、资源化、无害化的新阶段</w:t>
      </w:r>
    </w:p>
    <w:p w14:paraId="06475A38">
      <w:pPr>
        <w:pageBreakBefore w:val="0"/>
        <w:kinsoku/>
        <w:wordWrap/>
        <w:overflowPunct/>
        <w:topLinePunct w:val="0"/>
        <w:autoSpaceDE/>
        <w:autoSpaceDN/>
        <w:bidi w:val="0"/>
        <w:adjustRightInd/>
        <w:snapToGrid/>
        <w:spacing w:line="400" w:lineRule="atLeast"/>
        <w:ind w:firstLine="420" w:firstLineChars="200"/>
        <w:textAlignment w:val="auto"/>
        <w:rPr>
          <w:rFonts w:hint="eastAsia" w:ascii="宋体" w:hAnsi="宋体" w:eastAsia="宋体" w:cs="宋体"/>
          <w:b w:val="0"/>
          <w:bCs/>
          <w:sz w:val="21"/>
          <w:szCs w:val="21"/>
        </w:rPr>
      </w:pPr>
      <w:r>
        <w:rPr>
          <w:rFonts w:hint="eastAsia" w:ascii="宋体" w:hAnsi="宋体" w:eastAsia="宋体" w:cs="宋体"/>
          <w:b w:val="0"/>
          <w:bCs/>
          <w:sz w:val="21"/>
          <w:szCs w:val="21"/>
        </w:rPr>
        <w:t>GB/T 36380-2025《工业废硫酸的处理处置规范》的发布实施，不仅顺应了工业绿色转型对</w:t>
      </w:r>
      <w:r>
        <w:rPr>
          <w:rFonts w:hint="eastAsia" w:ascii="宋体" w:hAnsi="宋体" w:eastAsia="宋体" w:cs="宋体"/>
          <w:b w:val="0"/>
          <w:bCs/>
          <w:sz w:val="21"/>
          <w:szCs w:val="21"/>
          <w:lang w:eastAsia="zh-CN"/>
        </w:rPr>
        <w:t>废硫酸</w:t>
      </w:r>
      <w:r>
        <w:rPr>
          <w:rFonts w:hint="eastAsia" w:ascii="宋体" w:hAnsi="宋体" w:eastAsia="宋体" w:cs="宋体"/>
          <w:b w:val="0"/>
          <w:bCs/>
          <w:sz w:val="21"/>
          <w:szCs w:val="21"/>
        </w:rPr>
        <w:t>资源化利用的需求，也为行业划定了合规边界。</w:t>
      </w:r>
    </w:p>
    <w:p w14:paraId="3FAE0938">
      <w:pPr>
        <w:pageBreakBefore w:val="0"/>
        <w:kinsoku/>
        <w:wordWrap/>
        <w:overflowPunct/>
        <w:topLinePunct w:val="0"/>
        <w:autoSpaceDE/>
        <w:autoSpaceDN/>
        <w:bidi w:val="0"/>
        <w:adjustRightInd/>
        <w:snapToGrid/>
        <w:spacing w:line="400" w:lineRule="atLeast"/>
        <w:ind w:firstLine="420" w:firstLineChars="200"/>
        <w:textAlignment w:val="auto"/>
        <w:rPr>
          <w:rFonts w:hint="eastAsia" w:ascii="宋体" w:hAnsi="宋体" w:eastAsia="宋体" w:cs="宋体"/>
          <w:b w:val="0"/>
          <w:bCs/>
          <w:sz w:val="21"/>
          <w:szCs w:val="21"/>
        </w:rPr>
      </w:pPr>
      <w:r>
        <w:rPr>
          <w:rFonts w:hint="eastAsia" w:ascii="宋体" w:hAnsi="宋体" w:eastAsia="宋体" w:cs="宋体"/>
          <w:b w:val="0"/>
          <w:bCs/>
          <w:sz w:val="21"/>
          <w:szCs w:val="21"/>
        </w:rPr>
        <w:t>对于环保工程公司、化工、冶金、电子等产生废硫酸的企业，以及专业处理处置机构而言，及时掌握新版国标的核心要求，既是规避环保风险的必要举措，也是提升资源利用效率的重要契机。</w:t>
      </w:r>
    </w:p>
    <w:p w14:paraId="3A562DBB">
      <w:pPr>
        <w:pageBreakBefore w:val="0"/>
        <w:kinsoku/>
        <w:wordWrap/>
        <w:overflowPunct/>
        <w:topLinePunct w:val="0"/>
        <w:autoSpaceDE/>
        <w:autoSpaceDN/>
        <w:bidi w:val="0"/>
        <w:adjustRightInd/>
        <w:snapToGrid/>
        <w:spacing w:line="400" w:lineRule="atLeast"/>
        <w:ind w:firstLine="420" w:firstLineChars="200"/>
        <w:textAlignment w:val="auto"/>
        <w:rPr>
          <w:rFonts w:hint="eastAsia" w:ascii="宋体" w:hAnsi="宋体" w:eastAsia="宋体" w:cs="宋体"/>
          <w:b w:val="0"/>
          <w:bCs/>
          <w:sz w:val="21"/>
          <w:szCs w:val="21"/>
        </w:rPr>
      </w:pPr>
      <w:r>
        <w:rPr>
          <w:rFonts w:hint="eastAsia" w:ascii="宋体" w:hAnsi="宋体" w:eastAsia="宋体" w:cs="宋体"/>
          <w:b w:val="0"/>
          <w:bCs/>
          <w:sz w:val="21"/>
          <w:szCs w:val="21"/>
        </w:rPr>
        <w:t>未来</w:t>
      </w:r>
      <w:r>
        <w:rPr>
          <w:rFonts w:hint="eastAsia" w:ascii="宋体" w:hAnsi="宋体" w:eastAsia="宋体" w:cs="宋体"/>
          <w:b w:val="0"/>
          <w:bCs/>
          <w:sz w:val="21"/>
          <w:szCs w:val="21"/>
          <w:lang w:eastAsia="zh-CN"/>
        </w:rPr>
        <w:t>废硫酸</w:t>
      </w:r>
      <w:r>
        <w:rPr>
          <w:rFonts w:hint="eastAsia" w:ascii="宋体" w:hAnsi="宋体" w:eastAsia="宋体" w:cs="宋体"/>
          <w:b w:val="0"/>
          <w:bCs/>
          <w:sz w:val="21"/>
          <w:szCs w:val="21"/>
        </w:rPr>
        <w:t>处理项目的设计，需要更加注重技术路线的合规性、全流程管控的严格性和资源化产品的安全性，才能真正实现环境效益、社会效益和经济效益的统一。</w:t>
      </w:r>
    </w:p>
    <w:p w14:paraId="349BCB33">
      <w:pPr>
        <w:pageBreakBefore w:val="0"/>
        <w:kinsoku/>
        <w:wordWrap/>
        <w:overflowPunct/>
        <w:topLinePunct w:val="0"/>
        <w:autoSpaceDE/>
        <w:autoSpaceDN/>
        <w:bidi w:val="0"/>
        <w:adjustRightInd/>
        <w:snapToGrid/>
        <w:spacing w:line="400" w:lineRule="atLeast"/>
        <w:ind w:firstLine="422" w:firstLineChars="200"/>
        <w:textAlignment w:val="auto"/>
        <w:rPr>
          <w:rFonts w:hint="eastAsia" w:ascii="宋体" w:hAnsi="宋体" w:eastAsia="宋体" w:cs="宋体"/>
          <w:b/>
          <w:bCs w:val="0"/>
          <w:sz w:val="21"/>
          <w:szCs w:val="21"/>
        </w:rPr>
      </w:pPr>
      <w:r>
        <w:rPr>
          <w:rFonts w:hint="eastAsia" w:ascii="宋体" w:hAnsi="宋体" w:eastAsia="宋体" w:cs="宋体"/>
          <w:b/>
          <w:bCs w:val="0"/>
          <w:sz w:val="21"/>
          <w:szCs w:val="21"/>
          <w:lang w:val="en-US" w:eastAsia="zh-CN"/>
        </w:rPr>
        <w:t>五、</w:t>
      </w:r>
      <w:r>
        <w:rPr>
          <w:rFonts w:hint="eastAsia" w:ascii="宋体" w:hAnsi="宋体" w:eastAsia="宋体" w:cs="宋体"/>
          <w:b/>
          <w:bCs w:val="0"/>
          <w:sz w:val="21"/>
          <w:szCs w:val="21"/>
        </w:rPr>
        <w:t>核心要点总结表：</w:t>
      </w:r>
    </w:p>
    <w:tbl>
      <w:tblPr>
        <w:tblStyle w:val="18"/>
        <w:tblW w:w="86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50"/>
        <w:gridCol w:w="3654"/>
        <w:gridCol w:w="3516"/>
      </w:tblGrid>
      <w:tr w14:paraId="56F84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0" w:type="dxa"/>
            <w:shd w:val="clear" w:color="auto" w:fill="auto"/>
            <w:vAlign w:val="center"/>
          </w:tcPr>
          <w:p w14:paraId="79205C68">
            <w:pPr>
              <w:pageBreakBefore w:val="0"/>
              <w:kinsoku/>
              <w:wordWrap/>
              <w:overflowPunct/>
              <w:topLinePunct w:val="0"/>
              <w:autoSpaceDE/>
              <w:autoSpaceDN/>
              <w:bidi w:val="0"/>
              <w:adjustRightInd/>
              <w:snapToGrid/>
              <w:spacing w:line="400" w:lineRule="atLeast"/>
              <w:ind w:firstLine="420" w:firstLineChars="200"/>
              <w:jc w:val="both"/>
              <w:textAlignment w:val="auto"/>
              <w:rPr>
                <w:rFonts w:hint="eastAsia" w:ascii="宋体" w:hAnsi="宋体" w:eastAsia="宋体" w:cs="宋体"/>
                <w:b w:val="0"/>
                <w:bCs/>
                <w:kern w:val="2"/>
                <w:sz w:val="21"/>
                <w:szCs w:val="21"/>
                <w:lang w:val="en-US" w:eastAsia="zh-CN" w:bidi="ar-SA"/>
              </w:rPr>
            </w:pPr>
            <w:r>
              <w:rPr>
                <w:rFonts w:hint="eastAsia" w:ascii="宋体" w:hAnsi="宋体" w:eastAsia="宋体" w:cs="宋体"/>
                <w:b w:val="0"/>
                <w:bCs/>
                <w:sz w:val="21"/>
                <w:szCs w:val="21"/>
              </w:rPr>
              <w:t>方面</w:t>
            </w:r>
          </w:p>
        </w:tc>
        <w:tc>
          <w:tcPr>
            <w:tcW w:w="3654" w:type="dxa"/>
            <w:shd w:val="clear" w:color="auto" w:fill="auto"/>
            <w:vAlign w:val="center"/>
          </w:tcPr>
          <w:p w14:paraId="58329021">
            <w:pPr>
              <w:pageBreakBefore w:val="0"/>
              <w:kinsoku/>
              <w:wordWrap/>
              <w:overflowPunct/>
              <w:topLinePunct w:val="0"/>
              <w:autoSpaceDE/>
              <w:autoSpaceDN/>
              <w:bidi w:val="0"/>
              <w:adjustRightInd/>
              <w:snapToGrid/>
              <w:spacing w:line="400" w:lineRule="atLeast"/>
              <w:jc w:val="both"/>
              <w:textAlignment w:val="auto"/>
              <w:rPr>
                <w:rFonts w:hint="eastAsia" w:ascii="宋体" w:hAnsi="宋体" w:eastAsia="宋体" w:cs="宋体"/>
                <w:b w:val="0"/>
                <w:bCs/>
                <w:kern w:val="2"/>
                <w:sz w:val="21"/>
                <w:szCs w:val="21"/>
                <w:lang w:val="en-US" w:eastAsia="zh-CN" w:bidi="ar-SA"/>
              </w:rPr>
            </w:pPr>
            <w:r>
              <w:rPr>
                <w:rFonts w:hint="eastAsia" w:ascii="宋体" w:hAnsi="宋体" w:eastAsia="宋体" w:cs="宋体"/>
                <w:b w:val="0"/>
                <w:bCs/>
                <w:sz w:val="21"/>
                <w:szCs w:val="21"/>
              </w:rPr>
              <w:t>主要变化</w:t>
            </w:r>
          </w:p>
        </w:tc>
        <w:tc>
          <w:tcPr>
            <w:tcW w:w="3516" w:type="dxa"/>
            <w:shd w:val="clear" w:color="auto" w:fill="auto"/>
            <w:vAlign w:val="center"/>
          </w:tcPr>
          <w:p w14:paraId="632AB716">
            <w:pPr>
              <w:pageBreakBefore w:val="0"/>
              <w:kinsoku/>
              <w:wordWrap/>
              <w:overflowPunct/>
              <w:topLinePunct w:val="0"/>
              <w:autoSpaceDE/>
              <w:autoSpaceDN/>
              <w:bidi w:val="0"/>
              <w:adjustRightInd/>
              <w:snapToGrid/>
              <w:spacing w:line="400" w:lineRule="atLeast"/>
              <w:ind w:firstLine="420" w:firstLineChars="200"/>
              <w:jc w:val="both"/>
              <w:textAlignment w:val="auto"/>
              <w:rPr>
                <w:rFonts w:hint="eastAsia" w:ascii="宋体" w:hAnsi="宋体" w:eastAsia="宋体" w:cs="宋体"/>
                <w:b w:val="0"/>
                <w:bCs/>
                <w:kern w:val="2"/>
                <w:sz w:val="21"/>
                <w:szCs w:val="21"/>
                <w:lang w:val="en-US" w:eastAsia="zh-CN" w:bidi="ar-SA"/>
              </w:rPr>
            </w:pPr>
            <w:r>
              <w:rPr>
                <w:rFonts w:hint="eastAsia" w:ascii="宋体" w:hAnsi="宋体" w:eastAsia="宋体" w:cs="宋体"/>
                <w:b w:val="0"/>
                <w:bCs/>
                <w:sz w:val="21"/>
                <w:szCs w:val="21"/>
              </w:rPr>
              <w:t>对项目设计的影响</w:t>
            </w:r>
          </w:p>
        </w:tc>
      </w:tr>
      <w:tr w14:paraId="3D4F0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0" w:type="dxa"/>
            <w:shd w:val="clear" w:color="auto" w:fill="auto"/>
            <w:vAlign w:val="center"/>
          </w:tcPr>
          <w:p w14:paraId="556D91D8">
            <w:pPr>
              <w:pageBreakBefore w:val="0"/>
              <w:kinsoku/>
              <w:wordWrap/>
              <w:overflowPunct/>
              <w:topLinePunct w:val="0"/>
              <w:autoSpaceDE/>
              <w:autoSpaceDN/>
              <w:bidi w:val="0"/>
              <w:adjustRightInd/>
              <w:snapToGrid/>
              <w:spacing w:line="400" w:lineRule="atLeast"/>
              <w:ind w:left="0" w:leftChars="0" w:firstLine="0" w:firstLineChars="0"/>
              <w:jc w:val="both"/>
              <w:textAlignment w:val="auto"/>
              <w:rPr>
                <w:rFonts w:hint="eastAsia" w:ascii="宋体" w:hAnsi="宋体" w:eastAsia="宋体" w:cs="宋体"/>
                <w:b w:val="0"/>
                <w:bCs/>
                <w:kern w:val="2"/>
                <w:sz w:val="21"/>
                <w:szCs w:val="21"/>
                <w:lang w:val="en-US" w:eastAsia="zh-CN" w:bidi="ar-SA"/>
              </w:rPr>
            </w:pPr>
            <w:r>
              <w:rPr>
                <w:rFonts w:hint="eastAsia" w:ascii="宋体" w:hAnsi="宋体" w:eastAsia="宋体" w:cs="宋体"/>
                <w:b w:val="0"/>
                <w:bCs/>
                <w:sz w:val="21"/>
                <w:szCs w:val="21"/>
              </w:rPr>
              <w:t>技术方法</w:t>
            </w:r>
          </w:p>
        </w:tc>
        <w:tc>
          <w:tcPr>
            <w:tcW w:w="3654" w:type="dxa"/>
            <w:shd w:val="clear" w:color="auto" w:fill="auto"/>
            <w:vAlign w:val="center"/>
          </w:tcPr>
          <w:p w14:paraId="297D3812">
            <w:pPr>
              <w:pageBreakBefore w:val="0"/>
              <w:kinsoku/>
              <w:wordWrap/>
              <w:overflowPunct/>
              <w:topLinePunct w:val="0"/>
              <w:autoSpaceDE/>
              <w:autoSpaceDN/>
              <w:bidi w:val="0"/>
              <w:adjustRightInd/>
              <w:snapToGrid/>
              <w:spacing w:line="400" w:lineRule="atLeast"/>
              <w:ind w:left="0" w:leftChars="0" w:firstLine="0" w:firstLineChars="0"/>
              <w:jc w:val="both"/>
              <w:textAlignment w:val="auto"/>
              <w:rPr>
                <w:rFonts w:hint="eastAsia" w:ascii="宋体" w:hAnsi="宋体" w:eastAsia="宋体" w:cs="宋体"/>
                <w:b w:val="0"/>
                <w:bCs/>
                <w:kern w:val="2"/>
                <w:sz w:val="21"/>
                <w:szCs w:val="21"/>
                <w:lang w:val="en-US" w:eastAsia="zh-CN" w:bidi="ar-SA"/>
              </w:rPr>
            </w:pPr>
            <w:r>
              <w:rPr>
                <w:rFonts w:hint="eastAsia" w:ascii="宋体" w:hAnsi="宋体" w:eastAsia="宋体" w:cs="宋体"/>
                <w:b w:val="0"/>
                <w:bCs/>
                <w:sz w:val="21"/>
                <w:szCs w:val="21"/>
              </w:rPr>
              <w:t>删除低温/中温/高温再生法；新增高温裂解法、多段式负压浓缩净化法、炭化还原法</w:t>
            </w:r>
          </w:p>
        </w:tc>
        <w:tc>
          <w:tcPr>
            <w:tcW w:w="3516" w:type="dxa"/>
            <w:shd w:val="clear" w:color="auto" w:fill="auto"/>
            <w:vAlign w:val="center"/>
          </w:tcPr>
          <w:p w14:paraId="6E8EB3D4">
            <w:pPr>
              <w:pageBreakBefore w:val="0"/>
              <w:kinsoku/>
              <w:wordWrap/>
              <w:overflowPunct/>
              <w:topLinePunct w:val="0"/>
              <w:autoSpaceDE/>
              <w:autoSpaceDN/>
              <w:bidi w:val="0"/>
              <w:adjustRightInd/>
              <w:snapToGrid/>
              <w:spacing w:line="400" w:lineRule="atLeast"/>
              <w:ind w:left="0" w:leftChars="0" w:firstLine="0" w:firstLineChars="0"/>
              <w:jc w:val="both"/>
              <w:textAlignment w:val="auto"/>
              <w:rPr>
                <w:rFonts w:hint="eastAsia" w:ascii="宋体" w:hAnsi="宋体" w:eastAsia="宋体" w:cs="宋体"/>
                <w:b w:val="0"/>
                <w:bCs/>
                <w:kern w:val="2"/>
                <w:sz w:val="21"/>
                <w:szCs w:val="21"/>
                <w:lang w:val="en-US" w:eastAsia="zh-CN" w:bidi="ar-SA"/>
              </w:rPr>
            </w:pPr>
            <w:r>
              <w:rPr>
                <w:rFonts w:hint="eastAsia" w:ascii="宋体" w:hAnsi="宋体" w:eastAsia="宋体" w:cs="宋体"/>
                <w:b w:val="0"/>
                <w:bCs/>
                <w:sz w:val="21"/>
                <w:szCs w:val="21"/>
              </w:rPr>
              <w:t>需要重新评估和选择技术路线，确保合规性和先进性</w:t>
            </w:r>
          </w:p>
        </w:tc>
      </w:tr>
      <w:tr w14:paraId="59D7B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0" w:type="dxa"/>
            <w:shd w:val="clear" w:color="auto" w:fill="auto"/>
            <w:vAlign w:val="center"/>
          </w:tcPr>
          <w:p w14:paraId="057F6BA5">
            <w:pPr>
              <w:pageBreakBefore w:val="0"/>
              <w:kinsoku/>
              <w:wordWrap/>
              <w:overflowPunct/>
              <w:topLinePunct w:val="0"/>
              <w:autoSpaceDE/>
              <w:autoSpaceDN/>
              <w:bidi w:val="0"/>
              <w:adjustRightInd/>
              <w:snapToGrid/>
              <w:spacing w:line="400" w:lineRule="atLeast"/>
              <w:ind w:left="0" w:leftChars="0" w:firstLine="0" w:firstLineChars="0"/>
              <w:jc w:val="both"/>
              <w:textAlignment w:val="auto"/>
              <w:rPr>
                <w:rFonts w:hint="eastAsia" w:ascii="宋体" w:hAnsi="宋体" w:eastAsia="宋体" w:cs="宋体"/>
                <w:b w:val="0"/>
                <w:bCs/>
                <w:kern w:val="2"/>
                <w:sz w:val="21"/>
                <w:szCs w:val="21"/>
                <w:lang w:val="en-US" w:eastAsia="zh-CN" w:bidi="ar-SA"/>
              </w:rPr>
            </w:pPr>
            <w:r>
              <w:rPr>
                <w:rFonts w:hint="eastAsia" w:ascii="宋体" w:hAnsi="宋体" w:eastAsia="宋体" w:cs="宋体"/>
                <w:b w:val="0"/>
                <w:bCs/>
                <w:sz w:val="21"/>
                <w:szCs w:val="21"/>
              </w:rPr>
              <w:t>管控要求</w:t>
            </w:r>
          </w:p>
        </w:tc>
        <w:tc>
          <w:tcPr>
            <w:tcW w:w="3654" w:type="dxa"/>
            <w:shd w:val="clear" w:color="auto" w:fill="auto"/>
            <w:vAlign w:val="center"/>
          </w:tcPr>
          <w:p w14:paraId="3427806E">
            <w:pPr>
              <w:pageBreakBefore w:val="0"/>
              <w:kinsoku/>
              <w:wordWrap/>
              <w:overflowPunct/>
              <w:topLinePunct w:val="0"/>
              <w:autoSpaceDE/>
              <w:autoSpaceDN/>
              <w:bidi w:val="0"/>
              <w:adjustRightInd/>
              <w:snapToGrid/>
              <w:spacing w:line="400" w:lineRule="atLeast"/>
              <w:ind w:left="0" w:leftChars="0" w:firstLine="0" w:firstLineChars="0"/>
              <w:jc w:val="both"/>
              <w:textAlignment w:val="auto"/>
              <w:rPr>
                <w:rFonts w:hint="eastAsia" w:ascii="宋体" w:hAnsi="宋体" w:eastAsia="宋体" w:cs="宋体"/>
                <w:b w:val="0"/>
                <w:bCs/>
                <w:kern w:val="2"/>
                <w:sz w:val="21"/>
                <w:szCs w:val="21"/>
                <w:lang w:val="en-US" w:eastAsia="zh-CN" w:bidi="ar-SA"/>
              </w:rPr>
            </w:pPr>
            <w:r>
              <w:rPr>
                <w:rFonts w:hint="eastAsia" w:ascii="宋体" w:hAnsi="宋体" w:eastAsia="宋体" w:cs="宋体"/>
                <w:b w:val="0"/>
                <w:bCs/>
                <w:sz w:val="21"/>
                <w:szCs w:val="21"/>
              </w:rPr>
              <w:t>新增全流程管控要求，包括运输、贮存、入厂等环节</w:t>
            </w:r>
          </w:p>
        </w:tc>
        <w:tc>
          <w:tcPr>
            <w:tcW w:w="3516" w:type="dxa"/>
            <w:shd w:val="clear" w:color="auto" w:fill="auto"/>
            <w:vAlign w:val="center"/>
          </w:tcPr>
          <w:p w14:paraId="4F69FA4F">
            <w:pPr>
              <w:pageBreakBefore w:val="0"/>
              <w:kinsoku/>
              <w:wordWrap/>
              <w:overflowPunct/>
              <w:topLinePunct w:val="0"/>
              <w:autoSpaceDE/>
              <w:autoSpaceDN/>
              <w:bidi w:val="0"/>
              <w:adjustRightInd/>
              <w:snapToGrid/>
              <w:spacing w:line="400" w:lineRule="atLeast"/>
              <w:ind w:left="0" w:leftChars="0" w:firstLine="0" w:firstLineChars="0"/>
              <w:jc w:val="both"/>
              <w:textAlignment w:val="auto"/>
              <w:rPr>
                <w:rFonts w:hint="eastAsia" w:ascii="宋体" w:hAnsi="宋体" w:eastAsia="宋体" w:cs="宋体"/>
                <w:b w:val="0"/>
                <w:bCs/>
                <w:kern w:val="2"/>
                <w:sz w:val="21"/>
                <w:szCs w:val="21"/>
                <w:lang w:val="en-US" w:eastAsia="zh-CN" w:bidi="ar-SA"/>
              </w:rPr>
            </w:pPr>
            <w:r>
              <w:rPr>
                <w:rFonts w:hint="eastAsia" w:ascii="宋体" w:hAnsi="宋体" w:eastAsia="宋体" w:cs="宋体"/>
                <w:b w:val="0"/>
                <w:bCs/>
                <w:sz w:val="21"/>
                <w:szCs w:val="21"/>
              </w:rPr>
              <w:t>需建设完善的贮存设施，制定预验收程序，强化运输管理</w:t>
            </w:r>
          </w:p>
        </w:tc>
      </w:tr>
      <w:tr w14:paraId="73242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0" w:type="dxa"/>
            <w:shd w:val="clear" w:color="auto" w:fill="auto"/>
            <w:vAlign w:val="center"/>
          </w:tcPr>
          <w:p w14:paraId="2B9D52EF">
            <w:pPr>
              <w:pageBreakBefore w:val="0"/>
              <w:kinsoku/>
              <w:wordWrap/>
              <w:overflowPunct/>
              <w:topLinePunct w:val="0"/>
              <w:autoSpaceDE/>
              <w:autoSpaceDN/>
              <w:bidi w:val="0"/>
              <w:adjustRightInd/>
              <w:snapToGrid/>
              <w:spacing w:line="400" w:lineRule="atLeast"/>
              <w:ind w:left="0" w:leftChars="0" w:firstLine="0" w:firstLineChars="0"/>
              <w:jc w:val="both"/>
              <w:textAlignment w:val="auto"/>
              <w:rPr>
                <w:rFonts w:hint="eastAsia" w:ascii="宋体" w:hAnsi="宋体" w:eastAsia="宋体" w:cs="宋体"/>
                <w:b w:val="0"/>
                <w:bCs/>
                <w:kern w:val="2"/>
                <w:sz w:val="21"/>
                <w:szCs w:val="21"/>
                <w:lang w:val="en-US" w:eastAsia="zh-CN" w:bidi="ar-SA"/>
              </w:rPr>
            </w:pPr>
            <w:r>
              <w:rPr>
                <w:rFonts w:hint="eastAsia" w:ascii="宋体" w:hAnsi="宋体" w:eastAsia="宋体" w:cs="宋体"/>
                <w:b w:val="0"/>
                <w:bCs/>
                <w:sz w:val="21"/>
                <w:szCs w:val="21"/>
              </w:rPr>
              <w:t>资源化利用</w:t>
            </w:r>
          </w:p>
        </w:tc>
        <w:tc>
          <w:tcPr>
            <w:tcW w:w="3654" w:type="dxa"/>
            <w:shd w:val="clear" w:color="auto" w:fill="auto"/>
            <w:vAlign w:val="center"/>
          </w:tcPr>
          <w:p w14:paraId="267524FA">
            <w:pPr>
              <w:pageBreakBefore w:val="0"/>
              <w:kinsoku/>
              <w:wordWrap/>
              <w:overflowPunct/>
              <w:topLinePunct w:val="0"/>
              <w:autoSpaceDE/>
              <w:autoSpaceDN/>
              <w:bidi w:val="0"/>
              <w:adjustRightInd/>
              <w:snapToGrid/>
              <w:spacing w:line="400" w:lineRule="atLeast"/>
              <w:ind w:left="0" w:leftChars="0" w:firstLine="0" w:firstLineChars="0"/>
              <w:jc w:val="both"/>
              <w:textAlignment w:val="auto"/>
              <w:rPr>
                <w:rFonts w:hint="eastAsia" w:ascii="宋体" w:hAnsi="宋体" w:eastAsia="宋体" w:cs="宋体"/>
                <w:b w:val="0"/>
                <w:bCs/>
                <w:kern w:val="2"/>
                <w:sz w:val="21"/>
                <w:szCs w:val="21"/>
                <w:lang w:val="en-US" w:eastAsia="zh-CN" w:bidi="ar-SA"/>
              </w:rPr>
            </w:pPr>
            <w:r>
              <w:rPr>
                <w:rFonts w:hint="eastAsia" w:ascii="宋体" w:hAnsi="宋体" w:eastAsia="宋体" w:cs="宋体"/>
                <w:b w:val="0"/>
                <w:bCs/>
                <w:sz w:val="21"/>
                <w:szCs w:val="21"/>
              </w:rPr>
              <w:t>明确可制备聚合硫酸铁、硫酸铝、硫酸镁等产品及限制</w:t>
            </w:r>
          </w:p>
        </w:tc>
        <w:tc>
          <w:tcPr>
            <w:tcW w:w="3516" w:type="dxa"/>
            <w:shd w:val="clear" w:color="auto" w:fill="auto"/>
            <w:vAlign w:val="center"/>
          </w:tcPr>
          <w:p w14:paraId="62405A03">
            <w:pPr>
              <w:pageBreakBefore w:val="0"/>
              <w:kinsoku/>
              <w:wordWrap/>
              <w:overflowPunct/>
              <w:topLinePunct w:val="0"/>
              <w:autoSpaceDE/>
              <w:autoSpaceDN/>
              <w:bidi w:val="0"/>
              <w:adjustRightInd/>
              <w:snapToGrid/>
              <w:spacing w:line="400" w:lineRule="atLeast"/>
              <w:ind w:left="0" w:leftChars="0" w:firstLine="0" w:firstLineChars="0"/>
              <w:jc w:val="both"/>
              <w:textAlignment w:val="auto"/>
              <w:rPr>
                <w:rFonts w:hint="eastAsia" w:ascii="宋体" w:hAnsi="宋体" w:eastAsia="宋体" w:cs="宋体"/>
                <w:b w:val="0"/>
                <w:bCs/>
                <w:kern w:val="2"/>
                <w:sz w:val="21"/>
                <w:szCs w:val="21"/>
                <w:lang w:val="en-US" w:eastAsia="zh-CN" w:bidi="ar-SA"/>
              </w:rPr>
            </w:pPr>
            <w:r>
              <w:rPr>
                <w:rFonts w:hint="eastAsia" w:ascii="宋体" w:hAnsi="宋体" w:eastAsia="宋体" w:cs="宋体"/>
                <w:b w:val="0"/>
                <w:bCs/>
                <w:sz w:val="21"/>
                <w:szCs w:val="21"/>
              </w:rPr>
              <w:t>为产品方向选择提供依据，同时设置安全边界</w:t>
            </w:r>
          </w:p>
        </w:tc>
      </w:tr>
      <w:tr w14:paraId="05989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0" w:type="dxa"/>
            <w:shd w:val="clear" w:color="auto" w:fill="auto"/>
            <w:vAlign w:val="center"/>
          </w:tcPr>
          <w:p w14:paraId="75474A76">
            <w:pPr>
              <w:pageBreakBefore w:val="0"/>
              <w:kinsoku/>
              <w:wordWrap/>
              <w:overflowPunct/>
              <w:topLinePunct w:val="0"/>
              <w:autoSpaceDE/>
              <w:autoSpaceDN/>
              <w:bidi w:val="0"/>
              <w:adjustRightInd/>
              <w:snapToGrid/>
              <w:spacing w:line="400" w:lineRule="atLeast"/>
              <w:ind w:left="0" w:leftChars="0" w:firstLine="0" w:firstLineChars="0"/>
              <w:jc w:val="both"/>
              <w:textAlignment w:val="auto"/>
              <w:rPr>
                <w:rFonts w:hint="eastAsia" w:ascii="宋体" w:hAnsi="宋体" w:eastAsia="宋体" w:cs="宋体"/>
                <w:b w:val="0"/>
                <w:bCs/>
                <w:kern w:val="2"/>
                <w:sz w:val="21"/>
                <w:szCs w:val="21"/>
                <w:lang w:val="en-US" w:eastAsia="zh-CN" w:bidi="ar-SA"/>
              </w:rPr>
            </w:pPr>
            <w:r>
              <w:rPr>
                <w:rFonts w:hint="eastAsia" w:ascii="宋体" w:hAnsi="宋体" w:eastAsia="宋体" w:cs="宋体"/>
                <w:b w:val="0"/>
                <w:bCs/>
                <w:sz w:val="21"/>
                <w:szCs w:val="21"/>
              </w:rPr>
              <w:t>环境保护</w:t>
            </w:r>
          </w:p>
        </w:tc>
        <w:tc>
          <w:tcPr>
            <w:tcW w:w="3654" w:type="dxa"/>
            <w:shd w:val="clear" w:color="auto" w:fill="auto"/>
            <w:vAlign w:val="center"/>
          </w:tcPr>
          <w:p w14:paraId="3D79AADC">
            <w:pPr>
              <w:pageBreakBefore w:val="0"/>
              <w:kinsoku/>
              <w:wordWrap/>
              <w:overflowPunct/>
              <w:topLinePunct w:val="0"/>
              <w:autoSpaceDE/>
              <w:autoSpaceDN/>
              <w:bidi w:val="0"/>
              <w:adjustRightInd/>
              <w:snapToGrid/>
              <w:spacing w:line="400" w:lineRule="atLeast"/>
              <w:ind w:left="0" w:leftChars="0" w:firstLine="0" w:firstLineChars="0"/>
              <w:jc w:val="both"/>
              <w:textAlignment w:val="auto"/>
              <w:rPr>
                <w:rFonts w:hint="eastAsia" w:ascii="宋体" w:hAnsi="宋体" w:eastAsia="宋体" w:cs="宋体"/>
                <w:b w:val="0"/>
                <w:bCs/>
                <w:kern w:val="2"/>
                <w:sz w:val="21"/>
                <w:szCs w:val="21"/>
                <w:lang w:val="en-US" w:eastAsia="zh-CN" w:bidi="ar-SA"/>
              </w:rPr>
            </w:pPr>
            <w:r>
              <w:rPr>
                <w:rFonts w:hint="eastAsia" w:ascii="宋体" w:hAnsi="宋体" w:eastAsia="宋体" w:cs="宋体"/>
                <w:b w:val="0"/>
                <w:bCs/>
                <w:sz w:val="21"/>
                <w:szCs w:val="21"/>
              </w:rPr>
              <w:t>全面提高废气、废水、固废的排放和处理要求</w:t>
            </w:r>
          </w:p>
        </w:tc>
        <w:tc>
          <w:tcPr>
            <w:tcW w:w="3516" w:type="dxa"/>
            <w:shd w:val="clear" w:color="auto" w:fill="auto"/>
            <w:vAlign w:val="center"/>
          </w:tcPr>
          <w:p w14:paraId="47765D96">
            <w:pPr>
              <w:pageBreakBefore w:val="0"/>
              <w:kinsoku/>
              <w:wordWrap/>
              <w:overflowPunct/>
              <w:topLinePunct w:val="0"/>
              <w:autoSpaceDE/>
              <w:autoSpaceDN/>
              <w:bidi w:val="0"/>
              <w:adjustRightInd/>
              <w:snapToGrid/>
              <w:spacing w:line="400" w:lineRule="atLeast"/>
              <w:ind w:left="0" w:leftChars="0" w:firstLine="0" w:firstLineChars="0"/>
              <w:jc w:val="both"/>
              <w:textAlignment w:val="auto"/>
              <w:rPr>
                <w:rFonts w:hint="eastAsia" w:ascii="宋体" w:hAnsi="宋体" w:eastAsia="宋体" w:cs="宋体"/>
                <w:b w:val="0"/>
                <w:bCs/>
                <w:kern w:val="2"/>
                <w:sz w:val="21"/>
                <w:szCs w:val="21"/>
                <w:lang w:val="en-US" w:eastAsia="zh-CN" w:bidi="ar-SA"/>
              </w:rPr>
            </w:pPr>
            <w:r>
              <w:rPr>
                <w:rFonts w:hint="eastAsia" w:ascii="宋体" w:hAnsi="宋体" w:eastAsia="宋体" w:cs="宋体"/>
                <w:b w:val="0"/>
                <w:bCs/>
                <w:sz w:val="21"/>
                <w:szCs w:val="21"/>
              </w:rPr>
              <w:t>需强化污染物处理设施，确保达标排放</w:t>
            </w:r>
          </w:p>
        </w:tc>
      </w:tr>
      <w:tr w14:paraId="5E744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0" w:type="dxa"/>
            <w:shd w:val="clear" w:color="auto" w:fill="auto"/>
            <w:vAlign w:val="center"/>
          </w:tcPr>
          <w:p w14:paraId="69ADAE08">
            <w:pPr>
              <w:pageBreakBefore w:val="0"/>
              <w:kinsoku/>
              <w:wordWrap/>
              <w:overflowPunct/>
              <w:topLinePunct w:val="0"/>
              <w:autoSpaceDE/>
              <w:autoSpaceDN/>
              <w:bidi w:val="0"/>
              <w:adjustRightInd/>
              <w:snapToGrid/>
              <w:spacing w:line="400" w:lineRule="atLeast"/>
              <w:ind w:left="0" w:leftChars="0" w:firstLine="0" w:firstLineChars="0"/>
              <w:jc w:val="both"/>
              <w:textAlignment w:val="auto"/>
              <w:rPr>
                <w:rFonts w:hint="eastAsia" w:ascii="宋体" w:hAnsi="宋体" w:eastAsia="宋体" w:cs="宋体"/>
                <w:b w:val="0"/>
                <w:bCs/>
                <w:kern w:val="2"/>
                <w:sz w:val="21"/>
                <w:szCs w:val="21"/>
                <w:lang w:val="en-US" w:eastAsia="zh-CN" w:bidi="ar-SA"/>
              </w:rPr>
            </w:pPr>
            <w:r>
              <w:rPr>
                <w:rFonts w:hint="eastAsia" w:ascii="宋体" w:hAnsi="宋体" w:eastAsia="宋体" w:cs="宋体"/>
                <w:b w:val="0"/>
                <w:bCs/>
                <w:sz w:val="21"/>
                <w:szCs w:val="21"/>
              </w:rPr>
              <w:t>合规准备</w:t>
            </w:r>
          </w:p>
        </w:tc>
        <w:tc>
          <w:tcPr>
            <w:tcW w:w="3654" w:type="dxa"/>
            <w:shd w:val="clear" w:color="auto" w:fill="auto"/>
            <w:vAlign w:val="center"/>
          </w:tcPr>
          <w:p w14:paraId="53B5AFAF">
            <w:pPr>
              <w:pageBreakBefore w:val="0"/>
              <w:kinsoku/>
              <w:wordWrap/>
              <w:overflowPunct/>
              <w:topLinePunct w:val="0"/>
              <w:autoSpaceDE/>
              <w:autoSpaceDN/>
              <w:bidi w:val="0"/>
              <w:adjustRightInd/>
              <w:snapToGrid/>
              <w:spacing w:line="400" w:lineRule="atLeast"/>
              <w:ind w:left="0" w:leftChars="0" w:firstLine="0" w:firstLineChars="0"/>
              <w:jc w:val="both"/>
              <w:textAlignment w:val="auto"/>
              <w:rPr>
                <w:rFonts w:hint="eastAsia" w:ascii="宋体" w:hAnsi="宋体" w:eastAsia="宋体" w:cs="宋体"/>
                <w:b w:val="0"/>
                <w:bCs/>
                <w:kern w:val="2"/>
                <w:sz w:val="21"/>
                <w:szCs w:val="21"/>
                <w:lang w:val="en-US" w:eastAsia="zh-CN" w:bidi="ar-SA"/>
              </w:rPr>
            </w:pPr>
            <w:r>
              <w:rPr>
                <w:rFonts w:hint="eastAsia" w:ascii="宋体" w:hAnsi="宋体" w:eastAsia="宋体" w:cs="宋体"/>
                <w:b w:val="0"/>
                <w:bCs/>
                <w:sz w:val="21"/>
                <w:szCs w:val="21"/>
              </w:rPr>
              <w:t>要求建立数据管理系统，完善制度，学习标准</w:t>
            </w:r>
          </w:p>
        </w:tc>
        <w:tc>
          <w:tcPr>
            <w:tcW w:w="3516" w:type="dxa"/>
            <w:shd w:val="clear" w:color="auto" w:fill="auto"/>
            <w:vAlign w:val="center"/>
          </w:tcPr>
          <w:p w14:paraId="0B536A1B">
            <w:pPr>
              <w:pageBreakBefore w:val="0"/>
              <w:kinsoku/>
              <w:wordWrap/>
              <w:overflowPunct/>
              <w:topLinePunct w:val="0"/>
              <w:autoSpaceDE/>
              <w:autoSpaceDN/>
              <w:bidi w:val="0"/>
              <w:adjustRightInd/>
              <w:snapToGrid/>
              <w:spacing w:line="400" w:lineRule="atLeast"/>
              <w:ind w:left="0" w:leftChars="0" w:firstLine="0" w:firstLineChars="0"/>
              <w:jc w:val="both"/>
              <w:textAlignment w:val="auto"/>
              <w:rPr>
                <w:rFonts w:hint="eastAsia" w:ascii="宋体" w:hAnsi="宋体" w:eastAsia="宋体" w:cs="宋体"/>
                <w:b w:val="0"/>
                <w:bCs/>
                <w:kern w:val="2"/>
                <w:sz w:val="21"/>
                <w:szCs w:val="21"/>
                <w:lang w:val="en-US" w:eastAsia="zh-CN" w:bidi="ar-SA"/>
              </w:rPr>
            </w:pPr>
            <w:r>
              <w:rPr>
                <w:rFonts w:hint="eastAsia" w:ascii="宋体" w:hAnsi="宋体" w:eastAsia="宋体" w:cs="宋体"/>
                <w:b w:val="0"/>
                <w:bCs/>
                <w:sz w:val="21"/>
                <w:szCs w:val="21"/>
              </w:rPr>
              <w:t>需要投入资源进行技术适配、制度完善和人员培训</w:t>
            </w:r>
          </w:p>
        </w:tc>
      </w:tr>
    </w:tbl>
    <w:p w14:paraId="773B9AB4">
      <w:pPr>
        <w:pageBreakBefore w:val="0"/>
        <w:kinsoku/>
        <w:wordWrap/>
        <w:overflowPunct/>
        <w:topLinePunct w:val="0"/>
        <w:autoSpaceDE/>
        <w:autoSpaceDN/>
        <w:bidi w:val="0"/>
        <w:adjustRightInd/>
        <w:snapToGrid/>
        <w:spacing w:line="400" w:lineRule="atLeast"/>
        <w:ind w:firstLine="420" w:firstLineChars="200"/>
        <w:textAlignment w:val="auto"/>
        <w:rPr>
          <w:rFonts w:hint="eastAsia" w:ascii="宋体" w:hAnsi="宋体" w:eastAsia="宋体" w:cs="宋体"/>
          <w:b w:val="0"/>
          <w:bCs/>
          <w:sz w:val="21"/>
          <w:szCs w:val="21"/>
        </w:rPr>
      </w:pPr>
      <w:r>
        <w:rPr>
          <w:rFonts w:hint="eastAsia" w:ascii="宋体" w:hAnsi="宋体" w:eastAsia="宋体" w:cs="宋体"/>
          <w:b w:val="0"/>
          <w:bCs/>
          <w:sz w:val="21"/>
          <w:szCs w:val="21"/>
        </w:rPr>
        <w:t>希望本文能够帮助相关企业和环保从业者更好地理解</w:t>
      </w:r>
      <w:r>
        <w:rPr>
          <w:rFonts w:hint="eastAsia" w:ascii="宋体" w:hAnsi="宋体" w:eastAsia="宋体" w:cs="宋体"/>
          <w:b w:val="0"/>
          <w:bCs/>
          <w:sz w:val="21"/>
          <w:szCs w:val="21"/>
          <w:lang w:eastAsia="zh-CN"/>
        </w:rPr>
        <w:t>新标</w:t>
      </w:r>
      <w:r>
        <w:rPr>
          <w:rFonts w:hint="eastAsia" w:ascii="宋体" w:hAnsi="宋体" w:eastAsia="宋体" w:cs="宋体"/>
          <w:b w:val="0"/>
          <w:bCs/>
          <w:sz w:val="21"/>
          <w:szCs w:val="21"/>
        </w:rPr>
        <w:t>的要求，在未来的</w:t>
      </w:r>
      <w:r>
        <w:rPr>
          <w:rFonts w:hint="eastAsia" w:ascii="宋体" w:hAnsi="宋体" w:eastAsia="宋体" w:cs="宋体"/>
          <w:b w:val="0"/>
          <w:bCs/>
          <w:sz w:val="21"/>
          <w:szCs w:val="21"/>
          <w:lang w:eastAsia="zh-CN"/>
        </w:rPr>
        <w:t>废硫酸</w:t>
      </w:r>
      <w:r>
        <w:rPr>
          <w:rFonts w:hint="eastAsia" w:ascii="宋体" w:hAnsi="宋体" w:eastAsia="宋体" w:cs="宋体"/>
          <w:b w:val="0"/>
          <w:bCs/>
          <w:sz w:val="21"/>
          <w:szCs w:val="21"/>
        </w:rPr>
        <w:t>处理项目设计中提前布局，顺应环保新趋势。</w:t>
      </w:r>
    </w:p>
    <w:p w14:paraId="0C1BAC85">
      <w:pPr>
        <w:pStyle w:val="2"/>
        <w:pageBreakBefore w:val="0"/>
        <w:kinsoku/>
        <w:wordWrap/>
        <w:overflowPunct/>
        <w:topLinePunct w:val="0"/>
        <w:autoSpaceDE/>
        <w:autoSpaceDN/>
        <w:bidi w:val="0"/>
        <w:adjustRightInd/>
        <w:snapToGrid/>
        <w:spacing w:line="400" w:lineRule="atLeast"/>
        <w:textAlignment w:val="auto"/>
        <w:rPr>
          <w:rFonts w:hint="eastAsia" w:ascii="宋体" w:hAnsi="宋体" w:eastAsia="宋体" w:cs="宋体"/>
          <w:b w:val="0"/>
          <w:bCs/>
          <w:sz w:val="21"/>
          <w:szCs w:val="21"/>
          <w:lang w:val="en-US" w:eastAsia="zh-CN"/>
        </w:rPr>
      </w:pPr>
      <w:bookmarkStart w:id="1" w:name="_GoBack"/>
      <w:bookmarkEnd w:id="1"/>
    </w:p>
    <w:sectPr>
      <w:pgSz w:w="11906" w:h="16838"/>
      <w:pgMar w:top="1814" w:right="1587" w:bottom="1701"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华文楷体">
    <w:panose1 w:val="02010600040101010101"/>
    <w:charset w:val="86"/>
    <w:family w:val="auto"/>
    <w:pitch w:val="default"/>
    <w:sig w:usb0="00000287" w:usb1="080F0000" w:usb2="00000000" w:usb3="00000000" w:csb0="0004009F" w:csb1="DFD70000"/>
  </w:font>
  <w:font w:name="隶书">
    <w:panose1 w:val="0201050906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c5ZmMwZTNkY2FjMjU1Y2Y4ZTlkNzhjNmI4MDEyNjcifQ=="/>
  </w:docVars>
  <w:rsids>
    <w:rsidRoot w:val="00DD4CC1"/>
    <w:rsid w:val="00036B5E"/>
    <w:rsid w:val="00047FC0"/>
    <w:rsid w:val="00060599"/>
    <w:rsid w:val="0008730F"/>
    <w:rsid w:val="000A4D30"/>
    <w:rsid w:val="001570A5"/>
    <w:rsid w:val="001653DA"/>
    <w:rsid w:val="00170655"/>
    <w:rsid w:val="001F16B8"/>
    <w:rsid w:val="001F268C"/>
    <w:rsid w:val="00205F95"/>
    <w:rsid w:val="00223CAE"/>
    <w:rsid w:val="00252BF1"/>
    <w:rsid w:val="00264F57"/>
    <w:rsid w:val="002A2FE8"/>
    <w:rsid w:val="002A6E7F"/>
    <w:rsid w:val="002D3AD9"/>
    <w:rsid w:val="0032324D"/>
    <w:rsid w:val="00326DED"/>
    <w:rsid w:val="00452666"/>
    <w:rsid w:val="0046021A"/>
    <w:rsid w:val="00472F07"/>
    <w:rsid w:val="00495E28"/>
    <w:rsid w:val="004A7308"/>
    <w:rsid w:val="004B658B"/>
    <w:rsid w:val="004E5974"/>
    <w:rsid w:val="004E639D"/>
    <w:rsid w:val="0052555F"/>
    <w:rsid w:val="00550EFD"/>
    <w:rsid w:val="005A641B"/>
    <w:rsid w:val="005B2031"/>
    <w:rsid w:val="006054C1"/>
    <w:rsid w:val="006278D9"/>
    <w:rsid w:val="006525A5"/>
    <w:rsid w:val="006B4EF3"/>
    <w:rsid w:val="006B523C"/>
    <w:rsid w:val="006C7D50"/>
    <w:rsid w:val="00704818"/>
    <w:rsid w:val="00735E72"/>
    <w:rsid w:val="00756BF6"/>
    <w:rsid w:val="007958E0"/>
    <w:rsid w:val="007A04D9"/>
    <w:rsid w:val="007C2153"/>
    <w:rsid w:val="007D0764"/>
    <w:rsid w:val="007F00BC"/>
    <w:rsid w:val="00844F2C"/>
    <w:rsid w:val="00852987"/>
    <w:rsid w:val="0087425D"/>
    <w:rsid w:val="00874940"/>
    <w:rsid w:val="009168ED"/>
    <w:rsid w:val="0093495B"/>
    <w:rsid w:val="0094356F"/>
    <w:rsid w:val="009819FE"/>
    <w:rsid w:val="00987F1F"/>
    <w:rsid w:val="00A0752B"/>
    <w:rsid w:val="00A1502F"/>
    <w:rsid w:val="00A3470B"/>
    <w:rsid w:val="00A633AE"/>
    <w:rsid w:val="00A81B9E"/>
    <w:rsid w:val="00AA011A"/>
    <w:rsid w:val="00AD6D59"/>
    <w:rsid w:val="00B05911"/>
    <w:rsid w:val="00B226D2"/>
    <w:rsid w:val="00B86F3C"/>
    <w:rsid w:val="00BD25C3"/>
    <w:rsid w:val="00BF5402"/>
    <w:rsid w:val="00C31229"/>
    <w:rsid w:val="00C76433"/>
    <w:rsid w:val="00CF58F8"/>
    <w:rsid w:val="00D203A8"/>
    <w:rsid w:val="00D36A6E"/>
    <w:rsid w:val="00D829F0"/>
    <w:rsid w:val="00DD4CC1"/>
    <w:rsid w:val="00DE0390"/>
    <w:rsid w:val="00DF0139"/>
    <w:rsid w:val="00E52C97"/>
    <w:rsid w:val="00E67BF2"/>
    <w:rsid w:val="00EC1DD6"/>
    <w:rsid w:val="00ED67A0"/>
    <w:rsid w:val="00F153FF"/>
    <w:rsid w:val="00F22786"/>
    <w:rsid w:val="00F834FB"/>
    <w:rsid w:val="00FB3EEC"/>
    <w:rsid w:val="00FD2258"/>
    <w:rsid w:val="01520363"/>
    <w:rsid w:val="01C963F3"/>
    <w:rsid w:val="01DE1C5C"/>
    <w:rsid w:val="02203B3A"/>
    <w:rsid w:val="02B86B51"/>
    <w:rsid w:val="03304250"/>
    <w:rsid w:val="0374238F"/>
    <w:rsid w:val="03A5079A"/>
    <w:rsid w:val="03C527A5"/>
    <w:rsid w:val="04CC1D57"/>
    <w:rsid w:val="04DC643E"/>
    <w:rsid w:val="056106F1"/>
    <w:rsid w:val="05AE130F"/>
    <w:rsid w:val="06112117"/>
    <w:rsid w:val="062077BC"/>
    <w:rsid w:val="065F10D4"/>
    <w:rsid w:val="0730481F"/>
    <w:rsid w:val="076E5F7E"/>
    <w:rsid w:val="07B471FE"/>
    <w:rsid w:val="07C05BA3"/>
    <w:rsid w:val="07E3246F"/>
    <w:rsid w:val="07F7358F"/>
    <w:rsid w:val="08564759"/>
    <w:rsid w:val="08BA0844"/>
    <w:rsid w:val="091A7E4E"/>
    <w:rsid w:val="09931095"/>
    <w:rsid w:val="09F00295"/>
    <w:rsid w:val="0A4B20AA"/>
    <w:rsid w:val="0AEE6ECB"/>
    <w:rsid w:val="0AFF2E86"/>
    <w:rsid w:val="0B664CB3"/>
    <w:rsid w:val="0C0E77A3"/>
    <w:rsid w:val="0C2B45A8"/>
    <w:rsid w:val="0C580AA0"/>
    <w:rsid w:val="0C8E44C1"/>
    <w:rsid w:val="0CDE6ACB"/>
    <w:rsid w:val="0CE82491"/>
    <w:rsid w:val="0CF56428"/>
    <w:rsid w:val="0D525F6F"/>
    <w:rsid w:val="0DA11FD2"/>
    <w:rsid w:val="0E470192"/>
    <w:rsid w:val="0E792F4F"/>
    <w:rsid w:val="0EC8358F"/>
    <w:rsid w:val="0F543075"/>
    <w:rsid w:val="0FEE51C5"/>
    <w:rsid w:val="0FEF171B"/>
    <w:rsid w:val="0FF00FEF"/>
    <w:rsid w:val="0FF705D0"/>
    <w:rsid w:val="102313C5"/>
    <w:rsid w:val="103C5A23"/>
    <w:rsid w:val="10523A58"/>
    <w:rsid w:val="10667503"/>
    <w:rsid w:val="108035FE"/>
    <w:rsid w:val="10B85FB1"/>
    <w:rsid w:val="10BB15FD"/>
    <w:rsid w:val="10D34B99"/>
    <w:rsid w:val="111156C1"/>
    <w:rsid w:val="111B6540"/>
    <w:rsid w:val="11407D54"/>
    <w:rsid w:val="123F1DBA"/>
    <w:rsid w:val="12CF1390"/>
    <w:rsid w:val="12DB7D35"/>
    <w:rsid w:val="12E60488"/>
    <w:rsid w:val="13001868"/>
    <w:rsid w:val="132A2A6A"/>
    <w:rsid w:val="13CB5FFB"/>
    <w:rsid w:val="145D3907"/>
    <w:rsid w:val="148A7C64"/>
    <w:rsid w:val="14B4083D"/>
    <w:rsid w:val="156C2EC6"/>
    <w:rsid w:val="15C56B00"/>
    <w:rsid w:val="16132CB9"/>
    <w:rsid w:val="16B20DAC"/>
    <w:rsid w:val="16B25250"/>
    <w:rsid w:val="16B8213B"/>
    <w:rsid w:val="16D2144F"/>
    <w:rsid w:val="17836BED"/>
    <w:rsid w:val="178C5AA1"/>
    <w:rsid w:val="17AD77C6"/>
    <w:rsid w:val="180933FC"/>
    <w:rsid w:val="18616F2E"/>
    <w:rsid w:val="191221DB"/>
    <w:rsid w:val="19800B64"/>
    <w:rsid w:val="19836A30"/>
    <w:rsid w:val="199944A6"/>
    <w:rsid w:val="19FD4A34"/>
    <w:rsid w:val="1A533F79"/>
    <w:rsid w:val="1A5A1E87"/>
    <w:rsid w:val="1B2F179A"/>
    <w:rsid w:val="1B6F3710"/>
    <w:rsid w:val="1C250273"/>
    <w:rsid w:val="1D01483C"/>
    <w:rsid w:val="1D5D57EA"/>
    <w:rsid w:val="1E171E3D"/>
    <w:rsid w:val="1EBA2EF4"/>
    <w:rsid w:val="1EFE3E02"/>
    <w:rsid w:val="1F78690B"/>
    <w:rsid w:val="1FA40E26"/>
    <w:rsid w:val="20181E55"/>
    <w:rsid w:val="20200F8C"/>
    <w:rsid w:val="204B20BB"/>
    <w:rsid w:val="204F1D62"/>
    <w:rsid w:val="205C7FDB"/>
    <w:rsid w:val="20CA763A"/>
    <w:rsid w:val="21294361"/>
    <w:rsid w:val="21661758"/>
    <w:rsid w:val="227635D6"/>
    <w:rsid w:val="22BA5BB9"/>
    <w:rsid w:val="230D784D"/>
    <w:rsid w:val="23B95F13"/>
    <w:rsid w:val="24174945"/>
    <w:rsid w:val="24212C83"/>
    <w:rsid w:val="244020ED"/>
    <w:rsid w:val="24B17D3C"/>
    <w:rsid w:val="24EE1B49"/>
    <w:rsid w:val="25867FD4"/>
    <w:rsid w:val="259C77F7"/>
    <w:rsid w:val="262A3A04"/>
    <w:rsid w:val="269C7383"/>
    <w:rsid w:val="26B66697"/>
    <w:rsid w:val="273D46C2"/>
    <w:rsid w:val="27435A51"/>
    <w:rsid w:val="27466F3A"/>
    <w:rsid w:val="276F4A98"/>
    <w:rsid w:val="283B6E9A"/>
    <w:rsid w:val="28414686"/>
    <w:rsid w:val="287C746C"/>
    <w:rsid w:val="288D3427"/>
    <w:rsid w:val="28C3509B"/>
    <w:rsid w:val="28D44D60"/>
    <w:rsid w:val="29F55569"/>
    <w:rsid w:val="2A9C2048"/>
    <w:rsid w:val="2AF37C49"/>
    <w:rsid w:val="2C1A3224"/>
    <w:rsid w:val="2C5F332D"/>
    <w:rsid w:val="2CDC497D"/>
    <w:rsid w:val="2DA03BFD"/>
    <w:rsid w:val="2DD45655"/>
    <w:rsid w:val="2E7221A8"/>
    <w:rsid w:val="2EC67693"/>
    <w:rsid w:val="2EE30245"/>
    <w:rsid w:val="2F087CAC"/>
    <w:rsid w:val="2F0E4B96"/>
    <w:rsid w:val="2F1A353B"/>
    <w:rsid w:val="2F1F6DA3"/>
    <w:rsid w:val="2F397E65"/>
    <w:rsid w:val="2F633134"/>
    <w:rsid w:val="2F882B9B"/>
    <w:rsid w:val="2FA86D99"/>
    <w:rsid w:val="312F3756"/>
    <w:rsid w:val="31496359"/>
    <w:rsid w:val="315E0057"/>
    <w:rsid w:val="318D4498"/>
    <w:rsid w:val="3199108F"/>
    <w:rsid w:val="319F16AA"/>
    <w:rsid w:val="31F167D5"/>
    <w:rsid w:val="3216448E"/>
    <w:rsid w:val="321D581C"/>
    <w:rsid w:val="323963CE"/>
    <w:rsid w:val="3273368E"/>
    <w:rsid w:val="32963820"/>
    <w:rsid w:val="32E20814"/>
    <w:rsid w:val="337771AE"/>
    <w:rsid w:val="33F94067"/>
    <w:rsid w:val="34480B4A"/>
    <w:rsid w:val="34821AD6"/>
    <w:rsid w:val="35A52FD0"/>
    <w:rsid w:val="35D501BC"/>
    <w:rsid w:val="36407D2B"/>
    <w:rsid w:val="36BE3BE8"/>
    <w:rsid w:val="36DA26A7"/>
    <w:rsid w:val="36DB5CA6"/>
    <w:rsid w:val="37227431"/>
    <w:rsid w:val="3756532C"/>
    <w:rsid w:val="37B01725"/>
    <w:rsid w:val="38061044"/>
    <w:rsid w:val="381C3783"/>
    <w:rsid w:val="389E342F"/>
    <w:rsid w:val="38C5276A"/>
    <w:rsid w:val="399551B1"/>
    <w:rsid w:val="39D619B3"/>
    <w:rsid w:val="3A445910"/>
    <w:rsid w:val="3A557B1D"/>
    <w:rsid w:val="3A726921"/>
    <w:rsid w:val="3A765FE2"/>
    <w:rsid w:val="3B653D90"/>
    <w:rsid w:val="3B7D732B"/>
    <w:rsid w:val="3BAE3989"/>
    <w:rsid w:val="3BCC3E0F"/>
    <w:rsid w:val="3BD66A3C"/>
    <w:rsid w:val="3C424796"/>
    <w:rsid w:val="3CC044ED"/>
    <w:rsid w:val="3CC25530"/>
    <w:rsid w:val="3CC52D38"/>
    <w:rsid w:val="3CD13DD3"/>
    <w:rsid w:val="3D0715A3"/>
    <w:rsid w:val="3DA212CB"/>
    <w:rsid w:val="3DBB238D"/>
    <w:rsid w:val="3DBD6105"/>
    <w:rsid w:val="3E4405D4"/>
    <w:rsid w:val="3E9C5D1B"/>
    <w:rsid w:val="3F375A43"/>
    <w:rsid w:val="3FA4757D"/>
    <w:rsid w:val="3FB6105E"/>
    <w:rsid w:val="3FE444E6"/>
    <w:rsid w:val="40583EC3"/>
    <w:rsid w:val="40642868"/>
    <w:rsid w:val="407A652F"/>
    <w:rsid w:val="40923879"/>
    <w:rsid w:val="410F592B"/>
    <w:rsid w:val="411424E0"/>
    <w:rsid w:val="41641264"/>
    <w:rsid w:val="41700BEB"/>
    <w:rsid w:val="426C3C56"/>
    <w:rsid w:val="42786A9F"/>
    <w:rsid w:val="42EE53FF"/>
    <w:rsid w:val="43E4263E"/>
    <w:rsid w:val="45554E75"/>
    <w:rsid w:val="459D60E3"/>
    <w:rsid w:val="45E5444B"/>
    <w:rsid w:val="46362EF9"/>
    <w:rsid w:val="465515D1"/>
    <w:rsid w:val="468E4AE3"/>
    <w:rsid w:val="46F54E2D"/>
    <w:rsid w:val="46FD57C4"/>
    <w:rsid w:val="47925F0D"/>
    <w:rsid w:val="47A143DA"/>
    <w:rsid w:val="48A028AB"/>
    <w:rsid w:val="48B545A9"/>
    <w:rsid w:val="495C0DBE"/>
    <w:rsid w:val="49CB1BAA"/>
    <w:rsid w:val="4A070E34"/>
    <w:rsid w:val="4A4F4589"/>
    <w:rsid w:val="4AB60164"/>
    <w:rsid w:val="4B8E06C7"/>
    <w:rsid w:val="4C934BC0"/>
    <w:rsid w:val="4CFB09F8"/>
    <w:rsid w:val="4D057181"/>
    <w:rsid w:val="4D5123C6"/>
    <w:rsid w:val="4D6B792C"/>
    <w:rsid w:val="4DA16EA9"/>
    <w:rsid w:val="4DDA060D"/>
    <w:rsid w:val="4DED1912"/>
    <w:rsid w:val="4E257ADB"/>
    <w:rsid w:val="4E353A96"/>
    <w:rsid w:val="4EAD187E"/>
    <w:rsid w:val="4EB175C0"/>
    <w:rsid w:val="4EB62E28"/>
    <w:rsid w:val="4F0911AA"/>
    <w:rsid w:val="4F78309C"/>
    <w:rsid w:val="4F7E394E"/>
    <w:rsid w:val="50A20D13"/>
    <w:rsid w:val="50AD3DB7"/>
    <w:rsid w:val="50AF7B2F"/>
    <w:rsid w:val="50B02F71"/>
    <w:rsid w:val="50C26CF2"/>
    <w:rsid w:val="50EC0D83"/>
    <w:rsid w:val="50FE0CB7"/>
    <w:rsid w:val="512D188F"/>
    <w:rsid w:val="51363DAD"/>
    <w:rsid w:val="513B5867"/>
    <w:rsid w:val="519D207E"/>
    <w:rsid w:val="51EC090F"/>
    <w:rsid w:val="51FB00AC"/>
    <w:rsid w:val="52E57838"/>
    <w:rsid w:val="542B3971"/>
    <w:rsid w:val="54335EE7"/>
    <w:rsid w:val="5463310B"/>
    <w:rsid w:val="54AF45A2"/>
    <w:rsid w:val="54C142D5"/>
    <w:rsid w:val="55254864"/>
    <w:rsid w:val="553C395C"/>
    <w:rsid w:val="55BA1450"/>
    <w:rsid w:val="56037691"/>
    <w:rsid w:val="56083D8A"/>
    <w:rsid w:val="56135E24"/>
    <w:rsid w:val="564017AC"/>
    <w:rsid w:val="567B0721"/>
    <w:rsid w:val="56F97D56"/>
    <w:rsid w:val="57081D47"/>
    <w:rsid w:val="57E97DCB"/>
    <w:rsid w:val="583059FA"/>
    <w:rsid w:val="5847689F"/>
    <w:rsid w:val="58532B2C"/>
    <w:rsid w:val="58984204"/>
    <w:rsid w:val="58C47EF0"/>
    <w:rsid w:val="59285798"/>
    <w:rsid w:val="596F60AE"/>
    <w:rsid w:val="5A2A0227"/>
    <w:rsid w:val="5A7B0A82"/>
    <w:rsid w:val="5B0311A3"/>
    <w:rsid w:val="5BB5218E"/>
    <w:rsid w:val="5BFE5E0F"/>
    <w:rsid w:val="5CAA564F"/>
    <w:rsid w:val="5E361890"/>
    <w:rsid w:val="5EDA046D"/>
    <w:rsid w:val="5EE237C6"/>
    <w:rsid w:val="5EFF7ED4"/>
    <w:rsid w:val="5F7679C4"/>
    <w:rsid w:val="5F7F2DC3"/>
    <w:rsid w:val="5FBF1411"/>
    <w:rsid w:val="601A09BC"/>
    <w:rsid w:val="60395667"/>
    <w:rsid w:val="610D33E8"/>
    <w:rsid w:val="615E35D8"/>
    <w:rsid w:val="619568CD"/>
    <w:rsid w:val="61E67129"/>
    <w:rsid w:val="621A5025"/>
    <w:rsid w:val="62CC27C3"/>
    <w:rsid w:val="635A7DCF"/>
    <w:rsid w:val="637D586B"/>
    <w:rsid w:val="63872EA4"/>
    <w:rsid w:val="63F26259"/>
    <w:rsid w:val="640A365A"/>
    <w:rsid w:val="640E2967"/>
    <w:rsid w:val="64754794"/>
    <w:rsid w:val="64FD7B2B"/>
    <w:rsid w:val="657B402C"/>
    <w:rsid w:val="65C07C91"/>
    <w:rsid w:val="66CA526B"/>
    <w:rsid w:val="67DD0FCE"/>
    <w:rsid w:val="687A681D"/>
    <w:rsid w:val="68D73C6F"/>
    <w:rsid w:val="690B56C7"/>
    <w:rsid w:val="696A4D66"/>
    <w:rsid w:val="69867965"/>
    <w:rsid w:val="699456BD"/>
    <w:rsid w:val="6A4E3ABD"/>
    <w:rsid w:val="6A9A31A7"/>
    <w:rsid w:val="6AD06BC8"/>
    <w:rsid w:val="6B3929BF"/>
    <w:rsid w:val="6B3D425E"/>
    <w:rsid w:val="6B431148"/>
    <w:rsid w:val="6B56531F"/>
    <w:rsid w:val="6B575C91"/>
    <w:rsid w:val="6BB8040C"/>
    <w:rsid w:val="6C5C6966"/>
    <w:rsid w:val="6C6E5E1A"/>
    <w:rsid w:val="6C8E2897"/>
    <w:rsid w:val="6CDF30F3"/>
    <w:rsid w:val="6D921E65"/>
    <w:rsid w:val="6DF606F4"/>
    <w:rsid w:val="6E267136"/>
    <w:rsid w:val="6E2D67FA"/>
    <w:rsid w:val="6E6E0BD2"/>
    <w:rsid w:val="6E91041D"/>
    <w:rsid w:val="6ECB392F"/>
    <w:rsid w:val="6F562B93"/>
    <w:rsid w:val="6FA348AB"/>
    <w:rsid w:val="6FBB39A3"/>
    <w:rsid w:val="6FD23894"/>
    <w:rsid w:val="6FE23626"/>
    <w:rsid w:val="70383246"/>
    <w:rsid w:val="703D260A"/>
    <w:rsid w:val="7060279C"/>
    <w:rsid w:val="70626FA0"/>
    <w:rsid w:val="70756EB2"/>
    <w:rsid w:val="7258197D"/>
    <w:rsid w:val="72EB27F1"/>
    <w:rsid w:val="730241B0"/>
    <w:rsid w:val="731A1328"/>
    <w:rsid w:val="73587D13"/>
    <w:rsid w:val="743B50B2"/>
    <w:rsid w:val="74BF5CE3"/>
    <w:rsid w:val="750977D2"/>
    <w:rsid w:val="75693EA1"/>
    <w:rsid w:val="75B25848"/>
    <w:rsid w:val="766528BB"/>
    <w:rsid w:val="76C92E49"/>
    <w:rsid w:val="77617526"/>
    <w:rsid w:val="777A05E8"/>
    <w:rsid w:val="781A1483"/>
    <w:rsid w:val="781F0851"/>
    <w:rsid w:val="7820118F"/>
    <w:rsid w:val="782A7918"/>
    <w:rsid w:val="78B00E0E"/>
    <w:rsid w:val="78C94F9D"/>
    <w:rsid w:val="78FD502C"/>
    <w:rsid w:val="796450AB"/>
    <w:rsid w:val="79EB30D7"/>
    <w:rsid w:val="7A293F0A"/>
    <w:rsid w:val="7A5E24AA"/>
    <w:rsid w:val="7ACB4CB6"/>
    <w:rsid w:val="7B02692A"/>
    <w:rsid w:val="7B486307"/>
    <w:rsid w:val="7B5B603A"/>
    <w:rsid w:val="7B5C744A"/>
    <w:rsid w:val="7BA55C3B"/>
    <w:rsid w:val="7BD858DD"/>
    <w:rsid w:val="7BE9361F"/>
    <w:rsid w:val="7C6B49A3"/>
    <w:rsid w:val="7C765821"/>
    <w:rsid w:val="7C856E44"/>
    <w:rsid w:val="7CD24A22"/>
    <w:rsid w:val="7D366D5F"/>
    <w:rsid w:val="7DD722F0"/>
    <w:rsid w:val="7E32210A"/>
    <w:rsid w:val="7EB10D93"/>
    <w:rsid w:val="7EC87E8B"/>
    <w:rsid w:val="7EF70770"/>
    <w:rsid w:val="7F270942"/>
    <w:rsid w:val="7F413799"/>
    <w:rsid w:val="7F480FCB"/>
    <w:rsid w:val="7F5D6825"/>
    <w:rsid w:val="7F671451"/>
    <w:rsid w:val="7F674918"/>
    <w:rsid w:val="7FB83A5B"/>
    <w:rsid w:val="7FBA3C77"/>
    <w:rsid w:val="7FEC7BA9"/>
    <w:rsid w:val="7FF645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0"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5">
    <w:name w:val="heading 1"/>
    <w:basedOn w:val="1"/>
    <w:next w:val="1"/>
    <w:link w:val="30"/>
    <w:qFormat/>
    <w:uiPriority w:val="0"/>
    <w:pPr>
      <w:keepNext/>
      <w:keepLines/>
      <w:spacing w:before="340" w:after="330" w:line="578" w:lineRule="auto"/>
      <w:outlineLvl w:val="0"/>
    </w:pPr>
    <w:rPr>
      <w:rFonts w:ascii="Calibri" w:hAnsi="Calibri" w:eastAsia="宋体" w:cs="Times New Roman"/>
      <w:b/>
      <w:bCs/>
      <w:kern w:val="44"/>
      <w:sz w:val="44"/>
      <w:szCs w:val="44"/>
    </w:rPr>
  </w:style>
  <w:style w:type="paragraph" w:styleId="6">
    <w:name w:val="heading 2"/>
    <w:basedOn w:val="1"/>
    <w:next w:val="1"/>
    <w:link w:val="24"/>
    <w:autoRedefine/>
    <w:unhideWhenUsed/>
    <w:qFormat/>
    <w:uiPriority w:val="9"/>
    <w:pPr>
      <w:keepNext/>
      <w:keepLines/>
      <w:widowControl/>
      <w:adjustRightInd w:val="0"/>
      <w:snapToGrid w:val="0"/>
      <w:spacing w:line="360" w:lineRule="auto"/>
      <w:jc w:val="left"/>
      <w:outlineLvl w:val="1"/>
    </w:pPr>
    <w:rPr>
      <w:rFonts w:ascii="宋体" w:hAnsi="宋体" w:eastAsia="宋体" w:cs="宋体"/>
      <w:b/>
      <w:bCs/>
      <w:kern w:val="0"/>
      <w:sz w:val="28"/>
      <w:szCs w:val="28"/>
    </w:rPr>
  </w:style>
  <w:style w:type="paragraph" w:styleId="7">
    <w:name w:val="heading 3"/>
    <w:basedOn w:val="1"/>
    <w:next w:val="1"/>
    <w:link w:val="25"/>
    <w:autoRedefine/>
    <w:semiHidden/>
    <w:unhideWhenUsed/>
    <w:qFormat/>
    <w:uiPriority w:val="9"/>
    <w:pPr>
      <w:keepNext/>
      <w:keepLines/>
      <w:spacing w:before="260" w:after="260" w:line="416" w:lineRule="auto"/>
      <w:outlineLvl w:val="2"/>
    </w:pPr>
    <w:rPr>
      <w:b/>
      <w:bCs/>
      <w:sz w:val="32"/>
      <w:szCs w:val="32"/>
    </w:rPr>
  </w:style>
  <w:style w:type="paragraph" w:styleId="8">
    <w:name w:val="heading 4"/>
    <w:basedOn w:val="1"/>
    <w:next w:val="1"/>
    <w:link w:val="26"/>
    <w:autoRedefine/>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9">
    <w:name w:val="heading 7"/>
    <w:basedOn w:val="1"/>
    <w:next w:val="1"/>
    <w:unhideWhenUsed/>
    <w:qFormat/>
    <w:uiPriority w:val="0"/>
    <w:pPr>
      <w:keepNext/>
      <w:keepLines/>
      <w:spacing w:before="260" w:after="120" w:line="320" w:lineRule="auto"/>
      <w:outlineLvl w:val="6"/>
    </w:pPr>
    <w:rPr>
      <w:rFonts w:ascii="Times New Roman" w:hAnsi="Times New Roman" w:eastAsia="楷体" w:cstheme="minorBidi"/>
      <w:b/>
      <w:bCs/>
      <w:sz w:val="24"/>
      <w:szCs w:val="24"/>
    </w:rPr>
  </w:style>
  <w:style w:type="character" w:default="1" w:styleId="19">
    <w:name w:val="Default Paragraph Font"/>
    <w:autoRedefine/>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0"/>
    <w:pPr>
      <w:ind w:firstLine="420" w:firstLineChars="200"/>
    </w:pPr>
  </w:style>
  <w:style w:type="paragraph" w:styleId="3">
    <w:name w:val="Body Text Indent"/>
    <w:basedOn w:val="1"/>
    <w:next w:val="4"/>
    <w:qFormat/>
    <w:uiPriority w:val="0"/>
    <w:pPr>
      <w:spacing w:after="120" w:afterLines="0" w:afterAutospacing="0"/>
      <w:ind w:left="420" w:leftChars="200"/>
    </w:pPr>
  </w:style>
  <w:style w:type="paragraph" w:customStyle="1" w:styleId="4">
    <w:name w:val="样式 正文文本缩进 + 行距: 1.5 倍行距"/>
    <w:basedOn w:val="1"/>
    <w:qFormat/>
    <w:uiPriority w:val="0"/>
    <w:pPr>
      <w:spacing w:after="120"/>
      <w:ind w:left="90" w:leftChars="32" w:firstLine="560"/>
    </w:pPr>
    <w:rPr>
      <w:rFonts w:cs="宋体"/>
    </w:rPr>
  </w:style>
  <w:style w:type="paragraph" w:styleId="10">
    <w:name w:val="Body Text"/>
    <w:basedOn w:val="1"/>
    <w:autoRedefine/>
    <w:qFormat/>
    <w:uiPriority w:val="0"/>
    <w:pPr>
      <w:spacing w:after="120" w:afterLines="0" w:afterAutospacing="0"/>
    </w:pPr>
  </w:style>
  <w:style w:type="paragraph" w:styleId="11">
    <w:name w:val="footer"/>
    <w:basedOn w:val="1"/>
    <w:link w:val="29"/>
    <w:autoRedefine/>
    <w:unhideWhenUsed/>
    <w:qFormat/>
    <w:uiPriority w:val="99"/>
    <w:pPr>
      <w:tabs>
        <w:tab w:val="center" w:pos="4153"/>
        <w:tab w:val="right" w:pos="8306"/>
      </w:tabs>
      <w:snapToGrid w:val="0"/>
      <w:jc w:val="left"/>
    </w:pPr>
    <w:rPr>
      <w:sz w:val="18"/>
      <w:szCs w:val="18"/>
    </w:rPr>
  </w:style>
  <w:style w:type="paragraph" w:styleId="12">
    <w:name w:val="header"/>
    <w:basedOn w:val="1"/>
    <w:link w:val="28"/>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Subtitle"/>
    <w:basedOn w:val="1"/>
    <w:next w:val="1"/>
    <w:link w:val="31"/>
    <w:autoRedefine/>
    <w:qFormat/>
    <w:uiPriority w:val="0"/>
    <w:pPr>
      <w:spacing w:line="400" w:lineRule="exact"/>
      <w:jc w:val="center"/>
    </w:pPr>
    <w:rPr>
      <w:rFonts w:ascii="Calibri" w:hAnsi="Calibri" w:eastAsia="楷体" w:cs="Times New Roman"/>
      <w:b/>
      <w:bCs/>
      <w:kern w:val="28"/>
      <w:szCs w:val="32"/>
    </w:rPr>
  </w:style>
  <w:style w:type="paragraph" w:styleId="14">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5">
    <w:name w:val="Title"/>
    <w:basedOn w:val="8"/>
    <w:next w:val="1"/>
    <w:link w:val="27"/>
    <w:qFormat/>
    <w:uiPriority w:val="10"/>
    <w:pPr>
      <w:adjustRightInd w:val="0"/>
      <w:snapToGrid w:val="0"/>
      <w:spacing w:before="0" w:after="0" w:line="360" w:lineRule="auto"/>
      <w:jc w:val="center"/>
    </w:pPr>
    <w:rPr>
      <w:rFonts w:ascii="黑体" w:hAnsi="黑体" w:eastAsia="黑体" w:cs="黑体"/>
      <w:sz w:val="24"/>
      <w:szCs w:val="24"/>
    </w:rPr>
  </w:style>
  <w:style w:type="paragraph" w:styleId="16">
    <w:name w:val="Body Text First Indent"/>
    <w:basedOn w:val="10"/>
    <w:autoRedefine/>
    <w:qFormat/>
    <w:uiPriority w:val="0"/>
    <w:pPr>
      <w:ind w:firstLine="420" w:firstLineChars="100"/>
    </w:pPr>
  </w:style>
  <w:style w:type="table" w:styleId="18">
    <w:name w:val="Table Grid"/>
    <w:basedOn w:val="17"/>
    <w:autoRedefine/>
    <w:qFormat/>
    <w:uiPriority w:val="59"/>
    <w:rPr>
      <w:rFonts w:ascii="Calibri" w:hAnsi="Calibri" w:eastAsia="微软雅黑" w:cs="Times New Roman"/>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20">
    <w:name w:val="Strong"/>
    <w:basedOn w:val="19"/>
    <w:qFormat/>
    <w:uiPriority w:val="0"/>
    <w:rPr>
      <w:b/>
    </w:rPr>
  </w:style>
  <w:style w:type="character" w:styleId="21">
    <w:name w:val="Hyperlink"/>
    <w:basedOn w:val="19"/>
    <w:qFormat/>
    <w:uiPriority w:val="0"/>
    <w:rPr>
      <w:color w:val="0000FF"/>
      <w:u w:val="single"/>
    </w:rPr>
  </w:style>
  <w:style w:type="paragraph" w:customStyle="1" w:styleId="22">
    <w:name w:val="0正文"/>
    <w:basedOn w:val="1"/>
    <w:qFormat/>
    <w:uiPriority w:val="0"/>
    <w:pPr>
      <w:ind w:firstLine="480" w:firstLineChars="200"/>
    </w:pPr>
  </w:style>
  <w:style w:type="character" w:customStyle="1" w:styleId="23">
    <w:name w:val="标题 2 字符"/>
    <w:basedOn w:val="19"/>
    <w:autoRedefine/>
    <w:semiHidden/>
    <w:qFormat/>
    <w:uiPriority w:val="9"/>
    <w:rPr>
      <w:rFonts w:asciiTheme="majorHAnsi" w:hAnsiTheme="majorHAnsi" w:eastAsiaTheme="majorEastAsia" w:cstheme="majorBidi"/>
      <w:b/>
      <w:bCs/>
      <w:sz w:val="32"/>
      <w:szCs w:val="32"/>
    </w:rPr>
  </w:style>
  <w:style w:type="character" w:customStyle="1" w:styleId="24">
    <w:name w:val="标题 2 字符1"/>
    <w:link w:val="6"/>
    <w:autoRedefine/>
    <w:qFormat/>
    <w:uiPriority w:val="9"/>
    <w:rPr>
      <w:rFonts w:ascii="宋体" w:hAnsi="宋体" w:eastAsia="宋体" w:cs="宋体"/>
      <w:b/>
      <w:bCs/>
      <w:kern w:val="0"/>
      <w:sz w:val="28"/>
      <w:szCs w:val="28"/>
    </w:rPr>
  </w:style>
  <w:style w:type="character" w:customStyle="1" w:styleId="25">
    <w:name w:val="标题 3 字符"/>
    <w:basedOn w:val="19"/>
    <w:link w:val="7"/>
    <w:autoRedefine/>
    <w:semiHidden/>
    <w:qFormat/>
    <w:uiPriority w:val="9"/>
    <w:rPr>
      <w:b/>
      <w:bCs/>
      <w:sz w:val="32"/>
      <w:szCs w:val="32"/>
    </w:rPr>
  </w:style>
  <w:style w:type="character" w:customStyle="1" w:styleId="26">
    <w:name w:val="标题 4 字符"/>
    <w:basedOn w:val="19"/>
    <w:link w:val="8"/>
    <w:autoRedefine/>
    <w:semiHidden/>
    <w:qFormat/>
    <w:uiPriority w:val="9"/>
    <w:rPr>
      <w:rFonts w:asciiTheme="majorHAnsi" w:hAnsiTheme="majorHAnsi" w:eastAsiaTheme="majorEastAsia" w:cstheme="majorBidi"/>
      <w:b/>
      <w:bCs/>
      <w:sz w:val="28"/>
      <w:szCs w:val="28"/>
    </w:rPr>
  </w:style>
  <w:style w:type="character" w:customStyle="1" w:styleId="27">
    <w:name w:val="标题 字符"/>
    <w:basedOn w:val="19"/>
    <w:link w:val="15"/>
    <w:autoRedefine/>
    <w:qFormat/>
    <w:uiPriority w:val="10"/>
    <w:rPr>
      <w:rFonts w:ascii="黑体" w:hAnsi="黑体" w:eastAsia="黑体" w:cs="黑体"/>
      <w:b/>
      <w:bCs/>
      <w:sz w:val="24"/>
      <w:szCs w:val="24"/>
    </w:rPr>
  </w:style>
  <w:style w:type="character" w:customStyle="1" w:styleId="28">
    <w:name w:val="页眉 字符"/>
    <w:basedOn w:val="19"/>
    <w:link w:val="12"/>
    <w:autoRedefine/>
    <w:qFormat/>
    <w:uiPriority w:val="99"/>
    <w:rPr>
      <w:sz w:val="18"/>
      <w:szCs w:val="18"/>
    </w:rPr>
  </w:style>
  <w:style w:type="character" w:customStyle="1" w:styleId="29">
    <w:name w:val="页脚 字符"/>
    <w:basedOn w:val="19"/>
    <w:link w:val="11"/>
    <w:autoRedefine/>
    <w:qFormat/>
    <w:uiPriority w:val="99"/>
    <w:rPr>
      <w:sz w:val="18"/>
      <w:szCs w:val="18"/>
    </w:rPr>
  </w:style>
  <w:style w:type="character" w:customStyle="1" w:styleId="30">
    <w:name w:val="标题 1 字符"/>
    <w:basedOn w:val="19"/>
    <w:link w:val="5"/>
    <w:autoRedefine/>
    <w:qFormat/>
    <w:uiPriority w:val="0"/>
    <w:rPr>
      <w:rFonts w:ascii="Calibri" w:hAnsi="Calibri" w:eastAsia="宋体" w:cs="Times New Roman"/>
      <w:b/>
      <w:bCs/>
      <w:kern w:val="44"/>
      <w:sz w:val="44"/>
      <w:szCs w:val="44"/>
    </w:rPr>
  </w:style>
  <w:style w:type="character" w:customStyle="1" w:styleId="31">
    <w:name w:val="副标题 字符"/>
    <w:basedOn w:val="19"/>
    <w:link w:val="13"/>
    <w:autoRedefine/>
    <w:qFormat/>
    <w:uiPriority w:val="0"/>
    <w:rPr>
      <w:rFonts w:ascii="Calibri" w:hAnsi="Calibri" w:eastAsia="楷体" w:cs="Times New Roman"/>
      <w:b/>
      <w:bCs/>
      <w:kern w:val="28"/>
      <w:szCs w:val="32"/>
    </w:rPr>
  </w:style>
  <w:style w:type="paragraph" w:styleId="32">
    <w:name w:val="List Paragraph"/>
    <w:basedOn w:val="1"/>
    <w:autoRedefine/>
    <w:qFormat/>
    <w:uiPriority w:val="34"/>
    <w:pPr>
      <w:ind w:firstLine="420" w:firstLineChars="200"/>
    </w:pPr>
  </w:style>
  <w:style w:type="paragraph" w:customStyle="1" w:styleId="33">
    <w:name w:val="普通(网站) Char"/>
    <w:basedOn w:val="1"/>
    <w:autoRedefine/>
    <w:qFormat/>
    <w:uiPriority w:val="0"/>
    <w:pPr>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paragraph" w:customStyle="1" w:styleId="34">
    <w:name w:val="普通(网站) Char Char"/>
    <w:basedOn w:val="1"/>
    <w:autoRedefine/>
    <w:qFormat/>
    <w:uiPriority w:val="0"/>
    <w:pPr>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paragraph" w:customStyle="1" w:styleId="35">
    <w:name w:val="+正文"/>
    <w:basedOn w:val="1"/>
    <w:qFormat/>
    <w:uiPriority w:val="99"/>
    <w:pPr>
      <w:spacing w:line="360" w:lineRule="auto"/>
      <w:ind w:firstLine="200" w:firstLineChars="200"/>
    </w:pPr>
    <w:rPr>
      <w:rFonts w:ascii="Times New Roman" w:hAnsi="Times New Roman" w:cs="Times New Roman"/>
      <w:sz w:val="24"/>
      <w:szCs w:val="24"/>
    </w:rPr>
  </w:style>
  <w:style w:type="paragraph" w:customStyle="1" w:styleId="36">
    <w:name w:val="表格内容"/>
    <w:basedOn w:val="1"/>
    <w:qFormat/>
    <w:uiPriority w:val="99"/>
    <w:pPr>
      <w:widowControl/>
      <w:overflowPunct w:val="0"/>
      <w:autoSpaceDE w:val="0"/>
      <w:autoSpaceDN w:val="0"/>
      <w:adjustRightInd w:val="0"/>
      <w:jc w:val="center"/>
      <w:textAlignment w:val="baseline"/>
    </w:pPr>
    <w:rPr>
      <w:rFonts w:ascii="Times New Roman" w:hAnsi="Times New Roman" w:cs="Times New Roman"/>
      <w:kern w:val="0"/>
    </w:rPr>
  </w:style>
  <w:style w:type="paragraph" w:customStyle="1" w:styleId="37">
    <w:name w:val="表格内容-居中"/>
    <w:basedOn w:val="1"/>
    <w:qFormat/>
    <w:uiPriority w:val="99"/>
    <w:pPr>
      <w:widowControl/>
      <w:overflowPunct w:val="0"/>
      <w:autoSpaceDE w:val="0"/>
      <w:autoSpaceDN w:val="0"/>
      <w:adjustRightInd w:val="0"/>
      <w:spacing w:before="40" w:after="40" w:line="300" w:lineRule="exact"/>
      <w:jc w:val="center"/>
      <w:textAlignment w:val="baseline"/>
    </w:pPr>
    <w:rPr>
      <w:rFonts w:ascii="Times New Roman" w:hAnsi="Times New Roman" w:cs="Times New Roman"/>
      <w:kern w:val="0"/>
      <w:sz w:val="24"/>
      <w:szCs w:val="24"/>
    </w:rPr>
  </w:style>
  <w:style w:type="character" w:customStyle="1" w:styleId="38">
    <w:name w:val="font31"/>
    <w:basedOn w:val="19"/>
    <w:qFormat/>
    <w:uiPriority w:val="0"/>
    <w:rPr>
      <w:rFonts w:hint="eastAsia" w:ascii="华文楷体" w:hAnsi="华文楷体" w:eastAsia="华文楷体" w:cs="华文楷体"/>
      <w:color w:val="000000"/>
      <w:sz w:val="22"/>
      <w:szCs w:val="22"/>
      <w:u w:val="none"/>
      <w:vertAlign w:val="subscript"/>
    </w:rPr>
  </w:style>
  <w:style w:type="character" w:customStyle="1" w:styleId="39">
    <w:name w:val="font21"/>
    <w:basedOn w:val="19"/>
    <w:qFormat/>
    <w:uiPriority w:val="0"/>
    <w:rPr>
      <w:rFonts w:hint="eastAsia" w:ascii="华文楷体" w:hAnsi="华文楷体" w:eastAsia="华文楷体" w:cs="华文楷体"/>
      <w:color w:val="000000"/>
      <w:sz w:val="22"/>
      <w:szCs w:val="22"/>
      <w:u w:val="none"/>
    </w:rPr>
  </w:style>
  <w:style w:type="character" w:customStyle="1" w:styleId="40">
    <w:name w:val="font41"/>
    <w:basedOn w:val="19"/>
    <w:qFormat/>
    <w:uiPriority w:val="0"/>
    <w:rPr>
      <w:rFonts w:hint="eastAsia" w:ascii="华文楷体" w:hAnsi="华文楷体" w:eastAsia="华文楷体" w:cs="华文楷体"/>
      <w:color w:val="000000"/>
      <w:sz w:val="22"/>
      <w:szCs w:val="22"/>
      <w:u w:val="none"/>
      <w:vertAlign w:val="superscript"/>
    </w:rPr>
  </w:style>
  <w:style w:type="character" w:customStyle="1" w:styleId="41">
    <w:name w:val="font11"/>
    <w:basedOn w:val="19"/>
    <w:qFormat/>
    <w:uiPriority w:val="0"/>
    <w:rPr>
      <w:rFonts w:hint="eastAsia" w:ascii="华文楷体" w:hAnsi="华文楷体" w:eastAsia="华文楷体" w:cs="华文楷体"/>
      <w:color w:val="000000"/>
      <w:sz w:val="22"/>
      <w:szCs w:val="22"/>
      <w:u w:val="none"/>
    </w:rPr>
  </w:style>
  <w:style w:type="paragraph" w:customStyle="1" w:styleId="42">
    <w:name w:val="EndNote Bibliography"/>
    <w:basedOn w:val="1"/>
    <w:autoRedefine/>
    <w:qFormat/>
    <w:uiPriority w:val="0"/>
    <w:pPr>
      <w:ind w:firstLine="200" w:firstLineChars="200"/>
      <w:jc w:val="left"/>
    </w:pPr>
    <w:rPr>
      <w:sz w:val="20"/>
    </w:rPr>
  </w:style>
  <w:style w:type="paragraph" w:customStyle="1" w:styleId="43">
    <w:name w:val="列出段落1"/>
    <w:basedOn w:val="1"/>
    <w:qFormat/>
    <w:uiPriority w:val="34"/>
    <w:pPr>
      <w:ind w:firstLine="420" w:firstLineChars="200"/>
    </w:pPr>
  </w:style>
  <w:style w:type="paragraph" w:customStyle="1" w:styleId="44">
    <w:name w:val="正文文本1"/>
    <w:basedOn w:val="1"/>
    <w:qFormat/>
    <w:uiPriority w:val="0"/>
    <w:pPr>
      <w:shd w:val="clear" w:color="auto" w:fill="FFFFFF"/>
      <w:spacing w:line="610" w:lineRule="exact"/>
      <w:jc w:val="center"/>
    </w:pPr>
    <w:rPr>
      <w:rFonts w:ascii="宋体" w:hAnsi="宋体" w:eastAsia="宋体" w:cs="宋体"/>
      <w:sz w:val="28"/>
      <w:szCs w:val="2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6379</Words>
  <Characters>6469</Characters>
  <Lines>35</Lines>
  <Paragraphs>9</Paragraphs>
  <TotalTime>2</TotalTime>
  <ScaleCrop>false</ScaleCrop>
  <LinksUpToDate>false</LinksUpToDate>
  <CharactersWithSpaces>6471</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2022-09-27T07:43:00Z</dcterms:created>
  <dc:creator>Liao KangCheng</dc:creator>
  <cp:lastModifiedBy>白海丹</cp:lastModifiedBy>
  <dcterms:modified xsi:type="dcterms:W3CDTF">2026-03-19T06:46:09Z</dcterms:modified>
  <cp:revision>86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012170A0420347A89154D3512890171D_12</vt:lpwstr>
  </property>
  <property fmtid="{D5CDD505-2E9C-101B-9397-08002B2CF9AE}" pid="4" name="KSOTemplateDocerSaveRecord">
    <vt:lpwstr>eyJoZGlkIjoiMDc5ZmMwZTNkY2FjMjU1Y2Y4ZTlkNzhjNmI4MDEyNjciLCJ1c2VySWQiOiI0NDQ3MDkxMjgifQ==</vt:lpwstr>
  </property>
</Properties>
</file>