
<file path=[Content_Types].xml><?xml version="1.0" encoding="utf-8"?>
<Types xmlns="http://schemas.openxmlformats.org/package/2006/content-types">
  <Default Extension="bin" ContentType="application/vnd.openxmlformats-officedocument.oleObject"/>
  <Default Extension="tiff" ContentType="image/tiff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Microsoft_Visio___1.vsdx" ContentType="application/vnd.ms-visio.drawing"/>
  <Override PartName="/word/embeddings/Microsoft_Visio___2.vsdx" ContentType="application/vnd.ms-visio.drawing"/>
  <Override PartName="/word/embeddings/Microsoft_Visio___3.vsdx" ContentType="application/vnd.ms-visio.drawing"/>
  <Override PartName="/word/embeddings/Microsoft_Visio___4.vsdx" ContentType="application/vnd.ms-visio.drawing"/>
  <Override PartName="/word/embeddings/Microsoft_Visio___5.vsdx" ContentType="application/vnd.ms-visio.drawi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2C06479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bookmarkStart w:id="0" w:name="_Hlk88569120"/>
      <w:r>
        <w:rPr>
          <w:rFonts w:hint="eastAsia" w:ascii="隶书" w:hAnsi="隶书" w:eastAsia="隶书" w:cs="隶书"/>
          <w:lang w:val="en-US" w:eastAsia="zh-CN"/>
        </w:rPr>
        <w:t>硫酸装置DCS系统的双机组汽轮发电机与</w:t>
      </w:r>
    </w:p>
    <w:p w14:paraId="706DAA9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分汽缸压力协同自动控制技术的应用</w:t>
      </w:r>
    </w:p>
    <w:bookmarkEnd w:id="0"/>
    <w:p w14:paraId="2547EC4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王军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1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 xml:space="preserve"> 王彦淳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2</w:t>
      </w:r>
    </w:p>
    <w:p w14:paraId="645BB0D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1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 xml:space="preserve">新洋丰农业科技股份有限公司 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苏州大学</w:t>
      </w:r>
    </w:p>
    <w:p w14:paraId="7399C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45E66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摘要：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新洋丰农业科技股份有限公司新建的300 kt/a硫精砂制酸装置，配备1台6 MW中压抽背式汽轮发电机组和1台7.5 MW低压凝汽式汽轮发电机组，用于回收硫酸装置的中、低温位余热发电。中压余热锅炉产生的3.82 MPa、450 ℃过热蒸汽经过主蒸汽管道送至6 MW中压抽背式汽轮发电机组发电，背压蒸汽外供低压蒸汽管网，富余的低压蒸汽则用于7.5 MW低压凝汽式汽轮发电机组发电，整个系统达到了汽、电平衡，蒸汽发电系统采用了一种基于分布式控制系统（DCS）的发电蒸汽动力系统优化自控方法，尤其适用于配置CB6中压抽背机组与N75低压纯凝双汽轮发电机组的系统，实现主汽门压力、分汽缸压力与发电功率的协同自动控制。解决传统控制中，人工干预效率低、分汽缸压力波动大、双机组协同能力不足的问题，实现蒸汽发电动力系统的全自动优化运行，发电系统自控率100%，实习“零手动”操作。</w:t>
      </w:r>
    </w:p>
    <w:p w14:paraId="73250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关键词：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蒸汽发电 双机组 功率 分汽缸压力 自控</w:t>
      </w:r>
    </w:p>
    <w:p w14:paraId="301CCD7E">
      <w:pPr>
        <w:keepNext w:val="0"/>
        <w:keepLines w:val="0"/>
        <w:pageBreakBefore w:val="0"/>
        <w:tabs>
          <w:tab w:val="left" w:pos="6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/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/>
        </w:rPr>
      </w:pPr>
    </w:p>
    <w:p w14:paraId="340CB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atLeas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新洋丰农业科技股份有限公司（以下简称新洋丰农业）硫酸厂新建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30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 kt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/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硫铁矿制酸项目位于原合成氨厂区，配套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建设了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供水、供电、消防、蒸汽管网等公用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设施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该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项目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包括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1台43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t/h的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中压自然循环余热锅炉、1套硫酸低温余热回收装置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1台6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MW中压抽背式汽轮发电机组和1台7.5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MW低压凝汽式汽轮发电机组，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用于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回收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硫酸装置的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中、低温位余热发电。中压余热锅炉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产生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的3.82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MPa、450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℃过热蒸汽经过主蒸汽管道送至6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MW中压抽背式汽轮发电机组发电，背压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蒸汽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外供低压蒸汽管网，富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余的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低压蒸汽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则用于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7.5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MW低压凝汽式汽轮发电机组发电，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整个系统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达到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了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汽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电平衡。硫酸低温余热回收装置回收吸收塔吸收SO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释放的低温位余热，产生0.8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MPa、170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℃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低压饱和蒸汽，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并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送至低压蒸汽管网供园区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生产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使用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硫酸装置所产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w(H</w:t>
      </w:r>
      <w:r>
        <w:rPr>
          <w:rFonts w:hint="eastAsia" w:ascii="宋体" w:hAnsi="宋体" w:eastAsia="宋体" w:cs="宋体"/>
          <w:sz w:val="21"/>
          <w:szCs w:val="21"/>
          <w:highlight w:val="none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SO</w:t>
      </w:r>
      <w:r>
        <w:rPr>
          <w:rFonts w:hint="eastAsia" w:ascii="宋体" w:hAnsi="宋体" w:eastAsia="宋体" w:cs="宋体"/>
          <w:sz w:val="21"/>
          <w:szCs w:val="21"/>
          <w:highlight w:val="none"/>
          <w:vertAlign w:val="subscript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)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98%成品酸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用于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复合肥生产，焙烧后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硫铁矿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矿渣中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w(Fe)在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61%左右，作为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炼铁原料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销售给国内钢铁厂。</w:t>
      </w:r>
    </w:p>
    <w:p w14:paraId="711A6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atLeas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新洋丰农业硫酸厂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通过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应用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硫铁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矿制酸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技术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的创新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成果，整套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装置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技术和装备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均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达到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了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国内先进水平，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通过DCS的PID控制技术，实现装置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自动化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控制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特别是解决了蒸汽双机组发电自动控制难题，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实现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了硫铁矿制酸装置的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自控运行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。</w:t>
      </w:r>
    </w:p>
    <w:p w14:paraId="46274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 项目概况</w:t>
      </w:r>
    </w:p>
    <w:p w14:paraId="35610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atLeas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新洋丰农业的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30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 kt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/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硫铁矿制酸项目以</w:t>
      </w:r>
      <w:r>
        <w:rPr>
          <w:rFonts w:hint="eastAsia" w:ascii="宋体" w:hAnsi="宋体" w:eastAsia="宋体" w:cs="宋体"/>
          <w:b w:val="0"/>
          <w:bCs w:val="0"/>
          <w:i/>
          <w:iCs/>
          <w:sz w:val="21"/>
          <w:szCs w:val="21"/>
          <w:highlight w:val="none"/>
          <w:lang w:val="en-US" w:eastAsia="zh-CN"/>
        </w:rPr>
        <w:t>w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1"/>
          <w:szCs w:val="21"/>
          <w:highlight w:val="none"/>
          <w:lang w:val="en-US" w:eastAsia="zh-CN"/>
        </w:rPr>
        <w:t>(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S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1"/>
          <w:szCs w:val="21"/>
          <w:highlight w:val="none"/>
          <w:lang w:val="en-US" w:eastAsia="zh-CN"/>
        </w:rPr>
        <w:t>)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45%的硫铁矿为原料，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焙烧炉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采用沸腾焙烧技术，焙烧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后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  <w:lang w:val="de-DE"/>
        </w:rPr>
        <w:t>SO</w:t>
      </w:r>
      <w:r>
        <w:rPr>
          <w:rFonts w:hint="eastAsia" w:ascii="宋体" w:hAnsi="宋体" w:eastAsia="宋体" w:cs="宋体"/>
          <w:sz w:val="21"/>
          <w:szCs w:val="21"/>
          <w:highlight w:val="none"/>
          <w:vertAlign w:val="subscript"/>
          <w:lang w:val="de-DE"/>
        </w:rPr>
        <w:t>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炉气采用封闭酸洗净化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工艺和“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3+2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二转二吸工艺，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尾气处理采用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催化脱硫工艺。硫铁矿制酸项目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工艺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流程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见图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1。</w:t>
      </w:r>
    </w:p>
    <w:p w14:paraId="5C0C17A2">
      <w:pPr>
        <w:pStyle w:val="7"/>
        <w:rPr>
          <w:rFonts w:hint="eastAsia" w:eastAsia="宋体"/>
          <w:highlight w:val="none"/>
          <w:lang w:eastAsia="zh-CN"/>
        </w:rPr>
      </w:pP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5272405" cy="2556510"/>
            <wp:effectExtent l="0" t="0" r="4445" b="15240"/>
            <wp:docPr id="3" name="图片 3" descr="王军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王军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C0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22" w:firstLineChars="200"/>
        <w:jc w:val="center"/>
        <w:textAlignment w:val="auto"/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  <w:t>图1  新洋丰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农业</w:t>
      </w:r>
      <w:r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  <w:t>300 kt/a硫铁矿制酸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工艺</w:t>
      </w:r>
      <w:r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  <w:t>流程</w:t>
      </w:r>
    </w:p>
    <w:p w14:paraId="4481C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项目配置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一台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CB6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中压抽背机组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与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一台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N7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5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低压纯凝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双汽轮发电机组，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项目的中压蒸汽管线与硫酸厂另外两套2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 kt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/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a硫酸装置蒸汽参数一致的中压蒸汽管线连接，这两套2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 kt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/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a硫酸装置均配备一台6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MW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中压全凝发电机组，调整蒸汽平衡，大部分中压蒸汽根据生产园区需要送入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CB6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中压抽背机组发电，实现蒸汽梯级利用与热电联产，实现经济效益最大化。</w:t>
      </w:r>
    </w:p>
    <w:p w14:paraId="06A3D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CB6汽轮机型号：CB6-3.43/1.2/0.8，汽轮机型式：单缸、单轴、冲动、抽气背压式，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额定进汽量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73t/h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额定进汽抽汽工况），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最大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进汽量98t/h，抽汽量19t/h，抽汽压力1.2 MPa，排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汽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量78.04t/h，排汽压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力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0.8Mpa，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额定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排汽温度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275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℃，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额定功率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5.421MW，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最大功率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8.090MW，主汽门前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额定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蒸汽压力3.43 MPa，主汽门前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额定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 xml:space="preserve">蒸汽温度435℃。 </w:t>
      </w:r>
    </w:p>
    <w:p w14:paraId="4DB6C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N7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5汽轮机型号：N7.5-0.8/275，汽轮机型式：低压、单缸、冲动、凝汽式。新蒸汽压力0.7-1.0MPa（额定压力0.80MPa）、新蒸汽温度 265-280℃（额定温度275℃），额定功率7500kW，最大功率～8260kW，额定进汽量45 t/h，最大进汽量49.5 t/h，额定排汽压力0.007 MPa。</w:t>
      </w:r>
    </w:p>
    <w:p w14:paraId="26640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每台汽轮发电机组均配备有独立的DEH调节系统、励磁系统和ETS汽轮机紧急跳闸系统，实现汽轮发电机一键自动开停机、负荷调节、安全保护等功能。操作人员依靠DCS系统操作，在电脑上，用鼠标点击“加有功”/“减有功”功能块，将有功调节信号给到DEH，DEH 系统接收 DCS 有功调节指令，经 PID 运算后控制汽轮机调速汽门开度，改变进汽量与主汽压力，调节汽轮机机械出力，从而稳定发电机有功功率，同时参与蒸汽压力平衡控制，实现有功功率调节，控制发电有功负荷及蒸汽压力。点击“加无功”/“减无功”功能块，无功调节信号给到励磁系统，励磁系统接收 DCS 无功调节指令，通过调节转子励磁电流改变磁场强度，控制发电机端电压与无功输出，维持功率因数在设定范围，实现无功功率的精准调节，控制功率因素稳定。ETS 汽轮机紧急跳闸系统作为核心安全保护装置，实时监测超速、轴向位移、润滑油压低、真空低等关键安全参数，当参数越限或出现紧急工况时，立即触发跳闸指令，快速关闭主汽门与调速汽门，切断进汽并强制停机，防止设备损坏与事故扩大。三套系统在 DCS 统一协调下，实现机组一键自动开停机、负荷调节、安全保护等功能，保障双机组安全、稳定、高效运行。</w:t>
      </w:r>
    </w:p>
    <w:p w14:paraId="16930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 kt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/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a硫铁矿制酸装置全部中压蒸汽和另外两套2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 kt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/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a硫酸装置大部分中压蒸汽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3.20MPa、450 ℃）经主汽门进入CB6机组做功发电，做功后的中压蒸汽热焓值下降，蒸汽在中间级被抽出一部分（抽汽压力约 1.2 MPa），满足中压工艺用汽需求；剩余蒸汽继续膨胀至背压状态（排汽压力 0.8 MPa）后排至低压管网。CB6背压排气分两路，一路进入N75发电，另一路经喷水减温后进入分汽缸向园区蒸汽管网供汽，分汽缸供汽量与两台发电机组负荷联动，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CB6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背压排气总量超过用气量时，需要减少中压蒸汽进汽量，另外两套2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 kt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/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a硫酸装置发电机增加发电量，达到电汽平衡。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蒸汽系统依赖人工操作DCS界面按钮调节发电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机有功、无功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，存在响应延迟、精度低、依赖操作经验、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频繁操作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等问题。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另外，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下游用汽波动导致分汽缸压力频繁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波动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，传统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PID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单回路控制难以兼顾发电效率与供汽稳定性。人工调节难以实现多变量（压力、功率、功率因数）动态平衡；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在自控操作中，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缺乏分气缸压力与发电机组间的协同控制策略，放空阀频繁动作造成能源浪费；双机组负荷分配依赖经验，无法自适应工况变化。</w:t>
      </w:r>
    </w:p>
    <w:p w14:paraId="60F9B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  自控方案</w:t>
      </w:r>
    </w:p>
    <w:p w14:paraId="24F41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针对以上蒸汽发电系统电汽平衡自控难点，研究控制需求和控制要点，优化自控策略，通过两台发电机负荷自调、分汽缸压力与两台发电机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主汽门压力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串级控制，改变之前需要人工根据电汽平衡需要，不断修改发电进汽自控压力设定值，调整发电负荷和分汽缸外供蒸汽量稳定，优化后的自控系统根据分汽缸压力变化，自动调整双发电机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主汽门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蒸汽压力，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实现主汽门压力、分汽缸压力与发电功率的协同自动控制。</w:t>
      </w:r>
    </w:p>
    <w:p w14:paraId="48C17543">
      <w:pPr>
        <w:keepNext w:val="0"/>
        <w:keepLines w:val="0"/>
        <w:pageBreakBefore w:val="0"/>
        <w:widowControl w:val="0"/>
        <w:tabs>
          <w:tab w:val="left" w:pos="62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0" w:firstLineChars="0"/>
        <w:textAlignment w:val="auto"/>
        <w:outlineLvl w:val="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  <w:t>2.1自控系统架构</w:t>
      </w:r>
    </w:p>
    <w:p w14:paraId="7797B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硬件组成：DCS系统（含PID模块、手操器模块、高选/低选逻辑模块）；</w:t>
      </w:r>
    </w:p>
    <w:p w14:paraId="176B8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关键数据通讯（主汽门压力、分气缸压力、发电功率、功率因数）；</w:t>
      </w:r>
    </w:p>
    <w:p w14:paraId="1A498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执行机构（汽轮机调速器、励磁系统、蒸汽调节阀、放空阀）。</w:t>
      </w:r>
    </w:p>
    <w:p w14:paraId="12DDAE14">
      <w:pPr>
        <w:keepNext w:val="0"/>
        <w:keepLines w:val="0"/>
        <w:pageBreakBefore w:val="0"/>
        <w:widowControl w:val="0"/>
        <w:tabs>
          <w:tab w:val="left" w:pos="62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0" w:firstLineChars="0"/>
        <w:textAlignment w:val="auto"/>
        <w:outlineLvl w:val="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  <w:t>2.2自控控制方法</w:t>
      </w:r>
    </w:p>
    <w:p w14:paraId="0FFA9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2.2.1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基础控制层（主汽门压力-发电功率调控）：</w:t>
      </w:r>
    </w:p>
    <w:p w14:paraId="687C3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2.2.2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有功功率闭环控制：</w:t>
      </w:r>
    </w:p>
    <w:p w14:paraId="0EB62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主汽门压力→PID计算→有功功率演算值→根据演算值与实际值的偏差→偏差大于死区设定值→发送脉冲信号→调节发电机负荷；</w:t>
      </w:r>
    </w:p>
    <w:p w14:paraId="4E97C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2.2.3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发电功率硬限幅保护（1000KW≤CB6≤5420KW，2500KW≤N75≤7500KW）。</w:t>
      </w:r>
    </w:p>
    <w:p w14:paraId="17A07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2.2.4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功率因数自适应控制：</w:t>
      </w:r>
    </w:p>
    <w:p w14:paraId="54DA1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手操器模块→功率因数设定值与当前值偏差→脉冲信号→动态调整无功功率。</w:t>
      </w:r>
    </w:p>
    <w:p w14:paraId="6355B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2.2.5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协同优化层（分气缸压力-机组优先级调控）：</w:t>
      </w:r>
    </w:p>
    <w:p w14:paraId="2581D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串级控制回路：</w:t>
      </w:r>
    </w:p>
    <w:p w14:paraId="5B851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主回路：分气缸压力→PID→动态生成CB6/N75主汽门压力设定值；</w:t>
      </w:r>
    </w:p>
    <w:p w14:paraId="36779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副回路：CB6/N75主汽门压力→PID→有功功率演算值。</w:t>
      </w:r>
    </w:p>
    <w:p w14:paraId="38615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2.2.6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动态优先级策略：</w:t>
      </w:r>
    </w:p>
    <w:p w14:paraId="080B8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分气缸压力过高：高选模块优先降N75主汽门压力设定值→N75多发电→达限发电上限后降CB6主汽门前压力设定值→压力若仍超限，启动放空阀；</w:t>
      </w:r>
    </w:p>
    <w:p w14:paraId="6F9C3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分气缸压力不足：低选模块优先降CB6压力→CB6多供汽→联动升N75压力→N75少发电→多向分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汽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缸供汽。</w:t>
      </w:r>
    </w:p>
    <w:p w14:paraId="68AF6D8A">
      <w:pPr>
        <w:keepNext w:val="0"/>
        <w:keepLines w:val="0"/>
        <w:pageBreakBefore w:val="0"/>
        <w:widowControl w:val="0"/>
        <w:tabs>
          <w:tab w:val="left" w:pos="62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0" w:firstLineChars="0"/>
        <w:textAlignment w:val="auto"/>
        <w:outlineLvl w:val="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  <w:t>2.3、自控信号流向及自控逻辑</w:t>
      </w:r>
    </w:p>
    <w:p w14:paraId="0596DE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</w:rPr>
        <w:object>
          <v:shape id="_x0000_i1025" o:spt="75" type="#_x0000_t75" style="height:319.5pt;width:404.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5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</w:t>
      </w:r>
    </w:p>
    <w:p w14:paraId="6BD3A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图2 自控系统示意图</w:t>
      </w:r>
    </w:p>
    <w:p w14:paraId="324038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/>
        </w:rPr>
      </w:pPr>
    </w:p>
    <w:p w14:paraId="623047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 w:ascii="Times New Roman" w:hAnsi="宋体" w:eastAsia="宋体" w:cs="Times New Roman"/>
          <w:sz w:val="21"/>
          <w:szCs w:val="21"/>
          <w:highlight w:val="none"/>
          <w:lang w:eastAsia="zh-CN"/>
        </w:rPr>
      </w:pPr>
      <w:r>
        <w:rPr>
          <w:rFonts w:hint="eastAsia" w:ascii="Times New Roman" w:hAnsi="宋体" w:eastAsia="宋体" w:cs="Times New Roman"/>
          <w:sz w:val="21"/>
          <w:szCs w:val="21"/>
          <w:highlight w:val="none"/>
          <w:lang w:eastAsia="zh-CN"/>
        </w:rPr>
        <w:t>有功功率：</w:t>
      </w:r>
    </w:p>
    <w:p w14:paraId="72BE6372">
      <w:pPr>
        <w:spacing w:before="156" w:beforeLines="50" w:after="156" w:afterLines="50" w:line="360" w:lineRule="auto"/>
        <w:ind w:firstLine="420" w:firstLineChars="200"/>
        <w:rPr>
          <w:rFonts w:hint="eastAsia" w:ascii="Times New Roman" w:hAnsi="宋体" w:eastAsia="宋体" w:cs="Times New Roman"/>
          <w:sz w:val="21"/>
          <w:szCs w:val="21"/>
          <w:highlight w:val="none"/>
          <w:lang w:eastAsia="zh-CN"/>
        </w:rPr>
      </w:pPr>
      <w:r>
        <w:rPr>
          <w:rFonts w:hint="eastAsia"/>
        </w:rPr>
        <w:object>
          <v:shape id="_x0000_i1026" o:spt="75" type="#_x0000_t75" style="height:21pt;width:41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Visio.Drawing.15" ShapeID="_x0000_i1026" DrawAspect="Content" ObjectID="_1468075726" r:id="rId7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</w:t>
      </w:r>
      <w:r>
        <w:rPr>
          <w:rFonts w:hint="eastAsia" w:ascii="Times New Roman" w:hAnsi="宋体" w:eastAsia="宋体" w:cs="Times New Roman"/>
          <w:sz w:val="21"/>
          <w:szCs w:val="21"/>
          <w:highlight w:val="none"/>
          <w:lang w:eastAsia="zh-CN"/>
        </w:rPr>
        <w:t>功率因数：</w:t>
      </w:r>
    </w:p>
    <w:p w14:paraId="03BA06DF">
      <w:pPr>
        <w:spacing w:before="156" w:beforeLines="50" w:after="156" w:afterLines="50" w:line="360" w:lineRule="auto"/>
        <w:ind w:firstLine="420" w:firstLineChars="200"/>
        <w:rPr>
          <w:rFonts w:hint="eastAsia"/>
        </w:rPr>
      </w:pPr>
      <w:r>
        <w:rPr>
          <w:rFonts w:hint="eastAsia"/>
        </w:rPr>
        <w:object>
          <v:shape id="_x0000_i1027" o:spt="75" type="#_x0000_t75" style="height:21pt;width:41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9">
            <o:LockedField>false</o:LockedField>
          </o:OLEObject>
        </w:object>
      </w:r>
      <w:r>
        <w:rPr>
          <w:rFonts w:hint="eastAsia"/>
        </w:rPr>
        <w:t xml:space="preserve"> </w:t>
      </w:r>
    </w:p>
    <w:p w14:paraId="20C27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图3 DCS控制有功/无功功率信号流向</w:t>
      </w:r>
    </w:p>
    <w:p w14:paraId="6ACAA4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 w:ascii="Times New Roman" w:hAnsi="宋体" w:eastAsia="宋体" w:cs="Times New Roman"/>
          <w:sz w:val="21"/>
          <w:szCs w:val="21"/>
          <w:highlight w:val="none"/>
          <w:lang w:eastAsia="zh-CN"/>
        </w:rPr>
      </w:pPr>
      <w:r>
        <w:rPr>
          <w:rFonts w:hint="eastAsia" w:ascii="Times New Roman" w:hAnsi="宋体" w:eastAsia="宋体" w:cs="Times New Roman"/>
          <w:sz w:val="21"/>
          <w:szCs w:val="21"/>
          <w:highlight w:val="none"/>
          <w:lang w:eastAsia="zh-CN"/>
        </w:rPr>
        <w:t>有功功率：</w:t>
      </w:r>
    </w:p>
    <w:p w14:paraId="15116E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/>
        </w:rPr>
      </w:pPr>
      <w:r>
        <w:rPr>
          <w:rFonts w:hint="eastAsia"/>
        </w:rPr>
        <w:object>
          <v:shape id="_x0000_i1028" o:spt="75" type="#_x0000_t75" style="height:65pt;width:415.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Visio.Drawing.15" ShapeID="_x0000_i1028" DrawAspect="Content" ObjectID="_1468075728" r:id="rId11">
            <o:LockedField>false</o:LockedField>
          </o:OLEObject>
        </w:object>
      </w:r>
      <w:r>
        <w:rPr>
          <w:rFonts w:hint="eastAsia"/>
        </w:rPr>
        <w:t xml:space="preserve">    </w:t>
      </w:r>
    </w:p>
    <w:p w14:paraId="20F384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宋体" w:eastAsia="宋体" w:cs="Times New Roman"/>
          <w:sz w:val="21"/>
          <w:szCs w:val="21"/>
          <w:highlight w:val="none"/>
          <w:lang w:eastAsia="zh-CN"/>
        </w:rPr>
        <w:t>（</w:t>
      </w:r>
      <w:r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  <w:t>程序编写时还需针对CB6\N75两台发电机发电负荷、主汽阀前压力设定值更改PID功能块内部参数、同时程序投入测试时注意观测发电机电流、电压值的变化，制作程序投切开关，一旦测试效果不佳，立即切除自动，恢复手动控制）</w:t>
      </w:r>
    </w:p>
    <w:p w14:paraId="071DF8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  <w:t>功率因数：</w:t>
      </w:r>
    </w:p>
    <w:p w14:paraId="1CDDD424">
      <w:pPr>
        <w:spacing w:before="156" w:beforeLines="50" w:after="156" w:afterLines="50" w:line="360" w:lineRule="auto"/>
        <w:ind w:firstLine="420" w:firstLineChars="200"/>
        <w:rPr>
          <w:rFonts w:hint="eastAsia"/>
        </w:rPr>
      </w:pPr>
      <w:r>
        <w:rPr>
          <w:rFonts w:hint="eastAsia"/>
        </w:rPr>
        <w:object>
          <v:shape id="_x0000_i1029" o:spt="75" type="#_x0000_t75" style="height:65pt;width:415.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Visio.Drawing.15" ShapeID="_x0000_i1029" DrawAspect="Content" ObjectID="_1468075729" r:id="rId13">
            <o:LockedField>false</o:LockedField>
          </o:OLEObject>
        </w:object>
      </w:r>
    </w:p>
    <w:p w14:paraId="6A731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图4 DCS基础控制逻辑框图</w:t>
      </w:r>
    </w:p>
    <w:p w14:paraId="6F59C2A8">
      <w:pPr>
        <w:spacing w:before="156" w:beforeLines="50" w:after="156" w:afterLines="50" w:line="360" w:lineRule="auto"/>
        <w:ind w:firstLine="420" w:firstLineChars="200"/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</w:pPr>
      <w:r>
        <w:rPr>
          <w:rFonts w:hint="eastAsia"/>
          <w:color w:val="auto"/>
        </w:rPr>
        <w:object>
          <v:shape id="_x0000_i1030" o:spt="75" type="#_x0000_t75" style="height:166.5pt;width:415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Visio.Drawing.15" ShapeID="_x0000_i1030" DrawAspect="Content" ObjectID="_1468075730" r:id="rId15">
            <o:LockedField>false</o:LockedField>
          </o:OLEObject>
        </w:object>
      </w:r>
      <w:r>
        <w:rPr>
          <w:rFonts w:hint="eastAsia"/>
        </w:rPr>
        <w:t xml:space="preserve">  </w:t>
      </w:r>
      <w:r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  <w:t xml:space="preserve"> </w:t>
      </w:r>
    </w:p>
    <w:p w14:paraId="22FF0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图5 分气缸压力串级/放空阀放空控制逻辑图</w:t>
      </w:r>
    </w:p>
    <w:p w14:paraId="14A1544A">
      <w:pPr>
        <w:spacing w:before="156" w:beforeLines="50" w:after="156" w:afterLines="50" w:line="360" w:lineRule="auto"/>
        <w:ind w:firstLine="420" w:firstLineChars="200"/>
        <w:rPr>
          <w:rFonts w:hint="eastAsia"/>
        </w:rPr>
      </w:pPr>
      <w:r>
        <w:rPr>
          <w:rFonts w:hint="eastAsia"/>
          <w:color w:val="auto"/>
        </w:rPr>
        <w:object>
          <v:shape id="_x0000_i1031" o:spt="75" type="#_x0000_t75" style="height:57.5pt;width:41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Visio.Drawing.15" ShapeID="_x0000_i1031" DrawAspect="Content" ObjectID="_1468075731" r:id="rId17">
            <o:LockedField>false</o:LockedField>
          </o:OLEObject>
        </w:object>
      </w:r>
    </w:p>
    <w:p w14:paraId="0D650615">
      <w:pPr>
        <w:spacing w:before="156" w:beforeLines="50" w:after="156" w:afterLines="50" w:line="360" w:lineRule="auto"/>
        <w:ind w:firstLine="422" w:firstLineChars="20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图6 管网压力高放空阀进行蒸汽放空控制逻辑图</w:t>
      </w:r>
    </w:p>
    <w:p w14:paraId="279BBD2C">
      <w:pPr>
        <w:keepNext w:val="0"/>
        <w:keepLines w:val="0"/>
        <w:pageBreakBefore w:val="0"/>
        <w:widowControl w:val="0"/>
        <w:tabs>
          <w:tab w:val="left" w:pos="62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0" w:firstLineChars="0"/>
        <w:textAlignment w:val="auto"/>
        <w:outlineLvl w:val="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 w:bidi="ar"/>
        </w:rPr>
        <w:t>2.4、自控具体实施参数及场景</w:t>
      </w:r>
    </w:p>
    <w:p w14:paraId="1CB4F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2.4.1. 参数配置</w:t>
      </w:r>
    </w:p>
    <w:p w14:paraId="223AF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①PID参数:</w:t>
      </w:r>
    </w:p>
    <w:p w14:paraId="3A213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N75主回路比例带800%、积分时间300s；副回路比例带5%、积分时间45s；</w:t>
      </w:r>
    </w:p>
    <w:p w14:paraId="0CD6E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CB6主回路比例带80%、积分时间450s；副回路比例带20%、积分时间300s；</w:t>
      </w:r>
    </w:p>
    <w:p w14:paraId="139DF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②限幅值：</w:t>
      </w:r>
    </w:p>
    <w:p w14:paraId="33025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CB6主汽门压力3.05~3.2MPa，发电功率1000KW≤CB6≤5420KW;</w:t>
      </w:r>
    </w:p>
    <w:p w14:paraId="264CF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N75主汽门压力0.82~0.86MPa，发电功率2500KW≤N75≤7500KW;</w:t>
      </w:r>
    </w:p>
    <w:p w14:paraId="5DCC3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2.4.2. 典型控制场景</w:t>
      </w:r>
    </w:p>
    <w:p w14:paraId="62F54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场景1：分汽缸压力超限调节</w:t>
      </w:r>
    </w:p>
    <w:p w14:paraId="12436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分汽缸压力持续&gt;0.87MPa；主回路降低N75压力设定值逐渐至0.82MPa，N75发电量逐渐提升至7.5MW；若压力仍未回落，副回路降低CB6压力设定值至3.20MPa；</w:t>
      </w:r>
    </w:p>
    <w:p w14:paraId="13998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CB6进汽压力达3.45MPa时，中压放空阀根据PID功能块自动调节阀门开度进行放空；</w:t>
      </w:r>
    </w:p>
    <w:p w14:paraId="38BC1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N75压力达0.87MPa时，低压放空阀根据PID功能块自动调节阀门开度进行放空；</w:t>
      </w:r>
    </w:p>
    <w:p w14:paraId="03358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场景2：分气缸压力不足补偿</w:t>
      </w:r>
    </w:p>
    <w:p w14:paraId="0D6D0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分气缸压力由0.87MPa逐渐下降时；主回路降低CB6压力设定值至3.05MPa，增加供汽流量；联动提高N75压力设定值由0.82MPa逐渐提升至0.87MPa，N75发电量自动减少发电量，自调至分气缸压力指标稳定到0.85MPa。</w:t>
      </w:r>
    </w:p>
    <w:p w14:paraId="2B4C3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2.4.3. 保护机制</w:t>
      </w:r>
    </w:p>
    <w:p w14:paraId="26FA1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模式切换：自动控制失效时切换至手动模式并触发报警；</w:t>
      </w:r>
    </w:p>
    <w:p w14:paraId="221E9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脉冲容错：连续3次脉冲无响应则判定执行机构故障，执行停机保护。</w:t>
      </w:r>
    </w:p>
    <w:p w14:paraId="12BF8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  自控方案实施运用</w:t>
      </w:r>
    </w:p>
    <w:p w14:paraId="0405B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3.1.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发电中压蒸汽发空阀PIC_6102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，阀门控制中压蒸汽压力，放空压力设定值为3.5MPa，当压力高于3.45MPa时开始放空。</w:t>
      </w:r>
    </w:p>
    <w:p w14:paraId="0A5D9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2.CB6发电机自动控制：</w:t>
      </w:r>
    </w:p>
    <w:p w14:paraId="7053E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3.2.1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、CB6有功功率自动操作：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采用中压蒸汽压力设定值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PIC_6103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或分汽缸压力串级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CB6有功主回路PIC_6236_CB6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自动控制发电机负荷，每10秒自控自动加减一次有功。采用中压蒸汽压力设定值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PIC_6103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自控，需要根据分汽缸压力和N75发电负荷，手动修改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PIC_6103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设定值；采用分汽缸压力串级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CB6有功主回路PIC_6236_CB6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自控，是在中压蒸汽压力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PIC_6103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自控的基础上，增加了分汽缸压力串级控制，电脑根据分汽缸压力变化，自动修改CB6中压蒸汽压力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PIC_6103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有功调节设定值，不需手动输入，实现完全自动控制。</w:t>
      </w:r>
    </w:p>
    <w:p w14:paraId="20F1D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3.2.2自动投入：</w:t>
      </w:r>
    </w:p>
    <w:p w14:paraId="09D6E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instrText xml:space="preserve"> = 1 \* GB3 \* MERGEFORMAT </w:instrTex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①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发电负荷及蒸汽压力手动调节稳定，点击CB6有功自动“投入”按钮；</w:t>
      </w:r>
    </w:p>
    <w:p w14:paraId="53BBE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instrText xml:space="preserve"> = 2 \* GB3 \* MERGEFORMAT </w:instrTex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②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点击投切开关下方的压力设定框PIC_6103，点击“∞”，切为“串级”；</w:t>
      </w:r>
    </w:p>
    <w:p w14:paraId="0EBD3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③点击CB6有功主回路压力框PIC_6236_CB6，点击“自动”,投入自动前，确认好分汽缸压力设定值，暂定0.87MPa（分汽缸压力低于设定值0.005MPa，串级开始自调，即0.865MPa开始动作）。</w:t>
      </w:r>
    </w:p>
    <w:p w14:paraId="781DB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3.2.3切除分汽缸串级，改为有功压力控制步骤：</w:t>
      </w:r>
    </w:p>
    <w:p w14:paraId="76ABB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instrText xml:space="preserve"> = 1 \* GB3 \* MERGEFORMAT </w:instrTex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①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点击CB6有功压力设定框PIC_6103，对话框上点击“自动”，分汽缸压力串级控制切除，为中压蒸汽设定值自调发电负荷模式。</w:t>
      </w:r>
    </w:p>
    <w:p w14:paraId="39012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instrText xml:space="preserve"> = 2 \* GB3 \* MERGEFORMAT </w:instrTex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②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在此自调模式下，再点击CB6有功压力设定框，对话框上点击“手动”按钮，切为“手动”，有功调节为手动模式。</w:t>
      </w:r>
    </w:p>
    <w:p w14:paraId="6C952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3.2.4切除自调：</w:t>
      </w:r>
    </w:p>
    <w:p w14:paraId="2C2B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点击有功“切除”按钮后，串级自调全部为手动模式。</w:t>
      </w:r>
    </w:p>
    <w:p w14:paraId="0B361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3.3、CB6功率因数自动控制</w:t>
      </w:r>
    </w:p>
    <w:p w14:paraId="23B29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①点击“投入”按钮。</w:t>
      </w:r>
    </w:p>
    <w:p w14:paraId="2795D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②点击投切开关下方的功率因数设定框HIC_CB6GLYS。</w:t>
      </w:r>
    </w:p>
    <w:p w14:paraId="53C5A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③输入功率因数设定值0.85（暂定，根据实际生产要求设定值可调）；功率因数达到0.90或0.80时，DCS自动加或减一次无功功率，在0.80-0.90之间，DCS不加减无功，不在此范围会继续自动加减无功，直到功率因素达到0.80-0.90范围为止。</w:t>
      </w:r>
    </w:p>
    <w:p w14:paraId="1EB59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操作说明</w:t>
      </w:r>
    </w:p>
    <w:p w14:paraId="46101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630" w:leftChars="200" w:hanging="210" w:hangingChars="1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1、发电机自动运行模式下，原手动升降负荷/无功开关、修改有功压力设定值，仍能控制发电机负荷。异常情况点击“切除”按钮，恢复原手动操作模式。</w:t>
      </w:r>
    </w:p>
    <w:p w14:paraId="1C779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630" w:leftChars="200" w:hanging="210" w:hangingChars="1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2、CB6发电机自调负荷设定自调上限5420KW，下限1000KW，达到上限或下限，负荷将保持，如需干预，需切换为手动操作。</w:t>
      </w:r>
    </w:p>
    <w:p w14:paraId="78FF5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3、有功压力调节输入有效值范围2.90~3.30MPa，超过范围输入无效（为了防止误输入）。</w:t>
      </w:r>
    </w:p>
    <w:p w14:paraId="7C84A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4、每隔10秒电脑自动检测一次数据，超出设定范围会做调节。</w:t>
      </w:r>
    </w:p>
    <w:p w14:paraId="07F37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630" w:leftChars="200" w:hanging="210" w:hangingChars="1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5、操作面板不建议使用箭头来调节设定值，建议用键盘精准输入（防止设定数值变动较大）。</w:t>
      </w:r>
    </w:p>
    <w:p w14:paraId="123A3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、分汽缸压力串级控制时，当分汽缸压力上涨达到0.865MPa时（0.87MPa-0.005），电脑会自动给定PIC_6103有功压力设定值，提高压力设定值，CB6根据设定值自调负荷，降低CB6有功负荷，减少CB6排汽量，达到降低分汽缸压力的目的；反之，分汽缸压力低于0.865MPa时，电脑会自动降低PIC_6103有功压力设定值，增加CB6负荷，增加CB6排汽量和压力，达到N7.5多发电，分汽缸压力稳定在0.85MPa的目的。在此过程中，不需要手动输入PIC_6103有功压力设定值。</w:t>
      </w:r>
    </w:p>
    <w:p w14:paraId="3ECBB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7、PIC_6103有功压力设定值限幅为3.05~3.20MPa（根据实际运行情况，可修改）。当有功压力设定值达到压力限幅值时，设定值将保持在限幅值不动，如需超出限幅值范围干预，在自动模式下可以修改3.05~3.20MPa的限幅，不需切换为手动操作再做修改，但需车间主任同意，由过程控制工程师确认修改。</w:t>
      </w:r>
    </w:p>
    <w:p w14:paraId="39008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3.4N7.5发电机自动控制：</w:t>
      </w:r>
    </w:p>
    <w:p w14:paraId="750B2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3.4.1、N7.5有功功率自动操作：采用低压蒸汽压力设定值PIC_6201_YGGL或分汽缸压力串级N7.5有功主回路PIC_6236_N75自动控制发电机负荷。采用低压蒸汽压力设定值PIC_6201_YGGL自控，需要根据分汽缸压力和N7.5发电负荷，手动修改PIC_6201_YGGL设定值；采用分汽缸压力串级N7.5有功主回路PIC_6236_N75自控，是在低压蒸汽压力PIC_6201_YGGL自控的基础上，增加了分汽缸压力串级控制，电脑根据分汽缸压力变化，自动修改N7.5低压蒸汽压力PIC_6201_YGGL有功调节设定值，不需手动输入，实现完全自动控制。</w:t>
      </w:r>
    </w:p>
    <w:p w14:paraId="56B84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3.4.2操作步骤：</w:t>
      </w:r>
    </w:p>
    <w:p w14:paraId="0CA82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instrText xml:space="preserve"> = 1 \* GB3 \* MERGEFORMAT </w:instrTex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①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发电负荷及蒸汽压力稳定，点击有功PIC_6201_YGGL自动“投入”按钮；</w:t>
      </w:r>
    </w:p>
    <w:p w14:paraId="5F93B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instrText xml:space="preserve"> = 2 \* GB3 \* MERGEFORMAT </w:instrTex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②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点击投切开关下方的压力设定框PIC_6201-YGGL，点击“∞”，切为“串级”；</w:t>
      </w:r>
    </w:p>
    <w:p w14:paraId="0ED15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③点击“N75有功功率主回路”压力框PIC_6236-YGGL，点击“自动”,自动投用前，提前检查好分汽缸压力设定值，暂定0.85MPa（根据生产需要，可改设定值）。</w:t>
      </w:r>
    </w:p>
    <w:p w14:paraId="4F4F5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说明：串级控制时，根据分汽缸压力变化，会自动给定N7.5有功压力设定值PIC_6201_YGGL，提高或降低有功压力设定值，N7.5根据设定值自调负荷，稳定分汽缸压力0.85MPa，在此过程中，不需要手动输入压力设定值。</w:t>
      </w:r>
    </w:p>
    <w:p w14:paraId="205F3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3.4.3切除分汽缸串级控制模式，改为有功压力控制模式步骤：</w:t>
      </w:r>
    </w:p>
    <w:p w14:paraId="50CA3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instrText xml:space="preserve"> = 1 \* GB3 \* MERGEFORMAT </w:instrTex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①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点击N75有功压力设定框PIC_6201-YGGL，对话框上点击“自动”，分汽缸压力串级控制切除，为低压蒸汽设定值自调发电负荷模式。</w:t>
      </w:r>
    </w:p>
    <w:p w14:paraId="4CF9B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instrText xml:space="preserve"> = 2 \* GB3 \* MERGEFORMAT </w:instrTex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②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在此自调模式下，再点击N75有功压力设定框，对话框上点击“手动”，切为“手动”，有功调节为手动模式。</w:t>
      </w:r>
    </w:p>
    <w:p w14:paraId="1BE62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3.4.4切除自调步骤：</w:t>
      </w:r>
    </w:p>
    <w:p w14:paraId="40472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在自控模式下，点击有功自动“切除”按钮后，串级/自调均切除，为手动模式。</w:t>
      </w:r>
    </w:p>
    <w:p w14:paraId="45CBC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操作说明</w:t>
      </w:r>
    </w:p>
    <w:p w14:paraId="2B99E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1、发电机自调负荷设定自调上限7500KW，下限2500KW，达到上限或下限时，负荷会保持不变，如需超出范围调节，需车间主任同意，由过程控制工程师确认修改。</w:t>
      </w:r>
    </w:p>
    <w:p w14:paraId="3E461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2、有功压力调节输入有效值范围0.75~0.90MPa，超过范围输入无效（为了防止误输入）。</w:t>
      </w:r>
    </w:p>
    <w:p w14:paraId="3FC85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3、每隔10秒电脑自动检测一次数据，超出设定范围会做调节。</w:t>
      </w:r>
    </w:p>
    <w:p w14:paraId="57667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4、发电机自动运行模式下，原手动升降负荷/无功开关、修改设定值，仍能控制发电机有功负荷及功率因数。异常情况点击“切除”按钮，恢复原手动操作模式。</w:t>
      </w:r>
    </w:p>
    <w:p w14:paraId="3BDDB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5、PIC_6201-YGGL有功压力设定值限幅为0.82~0.86MPa（可根据生产需要由过程控制工程师修改），当自调前设定值低于0.82MPa或高于0.86MPa，打自调时，设定值会自动变为0.82MPa或0.86MPa。</w:t>
      </w:r>
    </w:p>
    <w:p w14:paraId="6EFAD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3.5、N75功率因数自动控制</w:t>
      </w:r>
    </w:p>
    <w:p w14:paraId="3FD96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①点击功率因素“投入”按钮。</w:t>
      </w:r>
    </w:p>
    <w:p w14:paraId="085DA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②点击投切开关左侧功率因数设定框HIC_N75GLYS。</w:t>
      </w:r>
    </w:p>
    <w:p w14:paraId="7D60F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③输入功率因数设定值0.83-0.87；发电机自动运行模式下，原手动升降无功开关、修改设定值，仍能控制发电机无功功率。</w:t>
      </w:r>
    </w:p>
    <w:p w14:paraId="3DD4B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④操作面板不建议使用箭头来调节设定值，建议用键盘精准输入（防止设定数值变动较大）。</w:t>
      </w:r>
    </w:p>
    <w:p w14:paraId="0946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3.6.均压箱温度调节阀TIC_6235  通过调节喷水量，自动控制均压箱温度在设定值（220-235℃）；</w:t>
      </w:r>
    </w:p>
    <w:p w14:paraId="68824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3.7.热水井液位调节阀LIC_6203 ，通过热水井凝结水泵出口调节阀开度，自动控制凝汽器热水井液位在设定值（0.9m-1.0m）。</w:t>
      </w:r>
    </w:p>
    <w:p w14:paraId="40A7B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3.8.分汽缸温度喷水减温调节阀TV_6236 ，采用减温水流量串级自动控制分汽缸蒸汽温度在设定值（暂定190℃，可根据实际需要调整），为了减少蒸汽温度波动，减温水流量设0.2t/h死区，既减温水实际流量与主回路计算的理想流量差值在0.2t/h以内，调节阀TV_6236不做调节。</w:t>
      </w:r>
    </w:p>
    <w:p w14:paraId="148C1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3.8.1自动投入：点击阀门TV_6236，出现FIC-6236框，点击“∞”，切为“串级”；点击“主回路调节流量框”TIC-6236，点击，切为自动，设定蒸汽温度控制SV值190℃（可设置），自控操作完成。                   </w:t>
      </w:r>
    </w:p>
    <w:p w14:paraId="3210C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3.8.2自控切手动：自调故障时，需切为手动操作，点击阀门TV_6236，点击“手动”图标，切为“手动”，恢复手动操作；</w:t>
      </w:r>
    </w:p>
    <w:p w14:paraId="190FF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3.8.3在以上自控基础上，增加喷水投切功能，外供蒸汽流量小于10m</w:t>
      </w:r>
      <w:r>
        <w:rPr>
          <w:rFonts w:hint="eastAsia" w:ascii="宋体" w:hAnsi="宋体" w:eastAsia="宋体" w:cs="宋体"/>
          <w:sz w:val="21"/>
          <w:szCs w:val="21"/>
          <w:highlight w:val="none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/h、分汽缸蒸汽温度低于190℃两个条件同时满足时，会自动关闭TV_6236，条件只满足其中一个时，不会关闭喷水阀，主要目的是避免小流量供汽时，喷水量不好控制。</w:t>
      </w:r>
    </w:p>
    <w:p w14:paraId="6A91D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3.9发电低压蒸汽发空阀PIC_6201 ，阀门控制低压蒸汽压力，放空压力设定值为0.87MPa（可设置），当压力高于0.85MPa时开始放空（动作值比设定值低0.02MPa），压力越高，放空阀门开度越大、越快。</w:t>
      </w:r>
    </w:p>
    <w:p w14:paraId="56730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3.10：发电自控后的操作界面效果示意图</w:t>
      </w:r>
    </w:p>
    <w:p w14:paraId="476C5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分气缸、CB6、N75压力实时曲线</w:t>
      </w:r>
    </w:p>
    <w:p w14:paraId="15F518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</w:pPr>
    </w:p>
    <w:p w14:paraId="32A05E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</w:pPr>
      <w:r>
        <w:drawing>
          <wp:inline distT="0" distB="0" distL="0" distR="0">
            <wp:extent cx="5274310" cy="2886710"/>
            <wp:effectExtent l="0" t="0" r="2540" b="8890"/>
            <wp:docPr id="137119536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195363" name="图片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E37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宋体" w:eastAsia="宋体" w:cs="Times New Roman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5237480" cy="2562860"/>
            <wp:effectExtent l="0" t="0" r="1270" b="8890"/>
            <wp:docPr id="11" name="图片 11" descr="五线蒸汽系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五线蒸汽系统图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72C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</w:pPr>
    </w:p>
    <w:p w14:paraId="3283F0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20" w:firstLineChars="200"/>
        <w:rPr>
          <w:rFonts w:hint="eastAsia"/>
          <w:lang w:val="en-US" w:eastAsia="zh-CN"/>
        </w:rPr>
      </w:pPr>
    </w:p>
    <w:p w14:paraId="3CCDEEA8">
      <w:pPr>
        <w:tabs>
          <w:tab w:val="left" w:pos="6204"/>
        </w:tabs>
        <w:adjustRightInd w:val="0"/>
        <w:snapToGrid w:val="0"/>
        <w:spacing w:line="288" w:lineRule="auto"/>
        <w:ind w:firstLine="0" w:firstLineChars="0"/>
        <w:outlineLvl w:val="0"/>
      </w:pPr>
    </w:p>
    <w:p w14:paraId="5D4C961C">
      <w:pPr>
        <w:tabs>
          <w:tab w:val="left" w:pos="6204"/>
        </w:tabs>
        <w:adjustRightInd w:val="0"/>
        <w:snapToGrid w:val="0"/>
        <w:spacing w:line="288" w:lineRule="auto"/>
        <w:ind w:firstLine="0" w:firstLineChars="0"/>
        <w:outlineLvl w:val="0"/>
      </w:pPr>
      <w:r>
        <w:drawing>
          <wp:inline distT="0" distB="0" distL="114300" distR="114300">
            <wp:extent cx="5805170" cy="3337560"/>
            <wp:effectExtent l="0" t="0" r="5080" b="152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5674" cy="3337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DCB3C">
      <w:pPr>
        <w:keepNext w:val="0"/>
        <w:keepLines w:val="0"/>
        <w:pageBreakBefore w:val="0"/>
        <w:tabs>
          <w:tab w:val="left" w:pos="62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outlineLvl w:val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分汽缸压力稳定后，正常工况下，因蒸汽压力高导致的放空几乎为零</w:t>
      </w:r>
    </w:p>
    <w:p w14:paraId="6206B3A9">
      <w:pPr>
        <w:tabs>
          <w:tab w:val="left" w:pos="6204"/>
        </w:tabs>
        <w:adjustRightInd w:val="0"/>
        <w:snapToGrid w:val="0"/>
        <w:spacing w:line="288" w:lineRule="auto"/>
        <w:ind w:firstLine="0" w:firstLineChars="0"/>
        <w:outlineLvl w:val="0"/>
      </w:pPr>
      <w:r>
        <w:drawing>
          <wp:inline distT="0" distB="0" distL="114300" distR="114300">
            <wp:extent cx="5520055" cy="3432175"/>
            <wp:effectExtent l="0" t="0" r="4445" b="158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005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76CE8">
      <w:pPr>
        <w:keepNext w:val="0"/>
        <w:keepLines w:val="0"/>
        <w:pageBreakBefore w:val="0"/>
        <w:tabs>
          <w:tab w:val="left" w:pos="62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outlineLvl w:val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CB6发电机进汽压力前后控制情况（当N75负荷满发至7500KW，自动修改CB6进汽压力设定值）</w:t>
      </w:r>
    </w:p>
    <w:p w14:paraId="4C9422F9">
      <w:pPr>
        <w:tabs>
          <w:tab w:val="left" w:pos="6204"/>
        </w:tabs>
        <w:adjustRightInd w:val="0"/>
        <w:snapToGrid w:val="0"/>
        <w:spacing w:line="288" w:lineRule="auto"/>
        <w:ind w:firstLine="0" w:firstLineChars="0"/>
        <w:outlineLvl w:val="0"/>
      </w:pPr>
      <w:r>
        <w:drawing>
          <wp:inline distT="0" distB="0" distL="114300" distR="114300">
            <wp:extent cx="5274310" cy="3279140"/>
            <wp:effectExtent l="0" t="0" r="2540" b="1651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CE3AC">
      <w:pPr>
        <w:keepNext w:val="0"/>
        <w:keepLines w:val="0"/>
        <w:pageBreakBefore w:val="0"/>
        <w:tabs>
          <w:tab w:val="left" w:pos="62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outlineLvl w:val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1" w:name="_GoBack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N75发电机进汽压力前后控制情况（通过自动修改N75进汽压力设定值稳定分气缸压力）</w:t>
      </w:r>
    </w:p>
    <w:bookmarkEnd w:id="1"/>
    <w:p w14:paraId="2D1CB530">
      <w:pPr>
        <w:tabs>
          <w:tab w:val="left" w:pos="6204"/>
        </w:tabs>
        <w:adjustRightInd w:val="0"/>
        <w:snapToGrid w:val="0"/>
        <w:spacing w:line="288" w:lineRule="auto"/>
        <w:outlineLvl w:val="0"/>
      </w:pPr>
      <w:r>
        <w:drawing>
          <wp:inline distT="0" distB="0" distL="114300" distR="114300">
            <wp:extent cx="5254625" cy="2491105"/>
            <wp:effectExtent l="0" t="0" r="3175" b="444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rcRect t="34330" r="23564" b="9579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249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4A187">
      <w:pPr>
        <w:keepNext w:val="0"/>
        <w:keepLines w:val="0"/>
        <w:pageBreakBefore w:val="0"/>
        <w:tabs>
          <w:tab w:val="left" w:pos="62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outlineLvl w:val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分汽缸压力控制曲线，N75\CB6两台发电机在引入分气缸压力串级控制后，分气缸压力的控制效果主汽门压力波动由±0.1Mpa降低至±0.05MPa，分气缸压力控制精度提升65%；二是抗干扰能力增加，当用汽单位突然停止用汽，分汽缸外供汽流量由16m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/h降为0m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/h，分汽缸压力陡增，CB6串级后压力设定值反应快，很快拉到3.20MPa，更快稳住分汽缸压力。</w:t>
      </w:r>
    </w:p>
    <w:p w14:paraId="08009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  结语</w:t>
      </w:r>
    </w:p>
    <w:p w14:paraId="540F48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DCS系统的双机组汽轮发电机与分气缸压力协调自动控制技术，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解决了传统控制中人工干预效率低、分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汽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缸压力波动大、双机组协同能力不足的问题，实现蒸汽动力系统的全自动优化运行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，发电系统自控率100%，在分汽缸外供汽受到干扰情况下，无需人工操作，自控系统能够调节平稳，实现发电自控。生产实际数据表明，在该技术的控制下，发电机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主汽门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前蒸汽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压力波动降低至±0.05MPa，分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汽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缸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蒸汽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压力控制精度提升65%；发电机组负荷分配效率提高12%，放空阀动作频率减少100%；系统全自动运行，人工干预需求减少95%以上，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解决了双机组发电及分汽缸蒸汽自动控制难题，实现经济效益最大化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。</w:t>
      </w:r>
    </w:p>
    <w:p w14:paraId="1A744B34">
      <w:pPr>
        <w:keepNext w:val="0"/>
        <w:keepLines w:val="0"/>
        <w:pageBreakBefore w:val="0"/>
        <w:tabs>
          <w:tab w:val="left" w:pos="6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7862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b/>
          <w:bCs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</w:rPr>
        <w:t>参考文献：</w:t>
      </w:r>
    </w:p>
    <w:p w14:paraId="39D05C9D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[1]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高山. DCS 控制系统在硫酸生产中的应用 [J]. 世界有色金属，2019, 44 (8): 147-148.</w:t>
      </w:r>
    </w:p>
    <w:p w14:paraId="07E33959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[2]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高韵涵，樊星宇。分程控制在压缩机进出口压力控制中的应用与研究 [J]. 当代化工，2020, 49 (4): 692-695.</w:t>
      </w:r>
    </w:p>
    <w:p w14:paraId="63B6B9C1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[3]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廉宪勇，王培进. DCS 在硫酸生产和余热发电项目中的应用 [J]. 可编程控制器与工厂自动化，2006 (9): 55-57.</w:t>
      </w:r>
    </w:p>
    <w:p w14:paraId="5EF9A929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[4]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刘学，胡刚刚，李健，等。高背压双抽热电联产机组联合运行特性及负荷分配 [J]. 中国电力，2022, 55 (10): 78-85.</w:t>
      </w:r>
    </w:p>
    <w:p w14:paraId="18D6349A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[5]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谢高平。硫铁矿制酸余热发电系统自动脱网运行技术开发与应用 [J]. 硫酸工业，2017 (12): 41-43.</w:t>
      </w:r>
    </w:p>
    <w:p w14:paraId="6F0B6D53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[6]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王东风，朱为琦。电站锅炉 - 汽轮机系统的 LPV 鲁棒 H∞/H₂变增益控制 [J]. 动力工程学报，2023, 43 (4): 468-474.</w:t>
      </w:r>
    </w:p>
    <w:p w14:paraId="77816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826A17"/>
    <w:rsid w:val="01C963F3"/>
    <w:rsid w:val="01DE1C5C"/>
    <w:rsid w:val="02203B3A"/>
    <w:rsid w:val="02B86B51"/>
    <w:rsid w:val="031C69F7"/>
    <w:rsid w:val="03304250"/>
    <w:rsid w:val="0374238F"/>
    <w:rsid w:val="03A5079A"/>
    <w:rsid w:val="03C50E3C"/>
    <w:rsid w:val="03C527A5"/>
    <w:rsid w:val="03E05510"/>
    <w:rsid w:val="040522EB"/>
    <w:rsid w:val="048748A1"/>
    <w:rsid w:val="04A44EF6"/>
    <w:rsid w:val="04CC1D57"/>
    <w:rsid w:val="04DC643E"/>
    <w:rsid w:val="056106F1"/>
    <w:rsid w:val="05AE130F"/>
    <w:rsid w:val="05FB3670"/>
    <w:rsid w:val="06112117"/>
    <w:rsid w:val="062077BC"/>
    <w:rsid w:val="065F10D4"/>
    <w:rsid w:val="0730481F"/>
    <w:rsid w:val="076E5F7E"/>
    <w:rsid w:val="07941252"/>
    <w:rsid w:val="07B471FE"/>
    <w:rsid w:val="07C05BA3"/>
    <w:rsid w:val="07E3246F"/>
    <w:rsid w:val="07F7358F"/>
    <w:rsid w:val="08406CE4"/>
    <w:rsid w:val="08564759"/>
    <w:rsid w:val="08BA0844"/>
    <w:rsid w:val="091A7E4E"/>
    <w:rsid w:val="09931095"/>
    <w:rsid w:val="09F00295"/>
    <w:rsid w:val="0A4B20AA"/>
    <w:rsid w:val="0AEE6ECB"/>
    <w:rsid w:val="0AFF2E86"/>
    <w:rsid w:val="0B664CB3"/>
    <w:rsid w:val="0BE81B6C"/>
    <w:rsid w:val="0C0E77A3"/>
    <w:rsid w:val="0C2B45A8"/>
    <w:rsid w:val="0C34090D"/>
    <w:rsid w:val="0C580AA0"/>
    <w:rsid w:val="0C8E44C1"/>
    <w:rsid w:val="0CCA74C4"/>
    <w:rsid w:val="0CDE6ACB"/>
    <w:rsid w:val="0CE82491"/>
    <w:rsid w:val="0CF56428"/>
    <w:rsid w:val="0D525F6F"/>
    <w:rsid w:val="0D731909"/>
    <w:rsid w:val="0DA11FD2"/>
    <w:rsid w:val="0E470192"/>
    <w:rsid w:val="0E5352AC"/>
    <w:rsid w:val="0E792F4F"/>
    <w:rsid w:val="0EB126E9"/>
    <w:rsid w:val="0EC341CA"/>
    <w:rsid w:val="0EC8358F"/>
    <w:rsid w:val="0EEF6D6E"/>
    <w:rsid w:val="0F395EEF"/>
    <w:rsid w:val="0F4B3FBB"/>
    <w:rsid w:val="0F543075"/>
    <w:rsid w:val="0FEE51C5"/>
    <w:rsid w:val="0FEF171B"/>
    <w:rsid w:val="0FF00FEF"/>
    <w:rsid w:val="0FF705D0"/>
    <w:rsid w:val="102313C5"/>
    <w:rsid w:val="103C5A23"/>
    <w:rsid w:val="10523A58"/>
    <w:rsid w:val="1053332C"/>
    <w:rsid w:val="10667503"/>
    <w:rsid w:val="108035FE"/>
    <w:rsid w:val="108300B5"/>
    <w:rsid w:val="108F6A5A"/>
    <w:rsid w:val="10B85FB1"/>
    <w:rsid w:val="10BB15FD"/>
    <w:rsid w:val="10D34B99"/>
    <w:rsid w:val="111156C1"/>
    <w:rsid w:val="111B6540"/>
    <w:rsid w:val="11407D54"/>
    <w:rsid w:val="123F1DBA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4020D1"/>
    <w:rsid w:val="156C2EC6"/>
    <w:rsid w:val="15C56B00"/>
    <w:rsid w:val="16132CB9"/>
    <w:rsid w:val="167C182F"/>
    <w:rsid w:val="16B20DAC"/>
    <w:rsid w:val="16B25250"/>
    <w:rsid w:val="16B8213B"/>
    <w:rsid w:val="16D2144F"/>
    <w:rsid w:val="17836BED"/>
    <w:rsid w:val="178C5AA1"/>
    <w:rsid w:val="17AD77C6"/>
    <w:rsid w:val="180933FC"/>
    <w:rsid w:val="181F06C4"/>
    <w:rsid w:val="185C6006"/>
    <w:rsid w:val="18616F2E"/>
    <w:rsid w:val="191221DB"/>
    <w:rsid w:val="19235F91"/>
    <w:rsid w:val="19800B64"/>
    <w:rsid w:val="19836A30"/>
    <w:rsid w:val="199944A6"/>
    <w:rsid w:val="19FD4A34"/>
    <w:rsid w:val="1A533F79"/>
    <w:rsid w:val="1A5A1E87"/>
    <w:rsid w:val="1B2F179A"/>
    <w:rsid w:val="1B6F3710"/>
    <w:rsid w:val="1BB630ED"/>
    <w:rsid w:val="1C250273"/>
    <w:rsid w:val="1D01483C"/>
    <w:rsid w:val="1D0E51AB"/>
    <w:rsid w:val="1D5D57EA"/>
    <w:rsid w:val="1E171E3D"/>
    <w:rsid w:val="1EBA2EF4"/>
    <w:rsid w:val="1EC41FC5"/>
    <w:rsid w:val="1EFE3E02"/>
    <w:rsid w:val="1F2B3D22"/>
    <w:rsid w:val="1F78690B"/>
    <w:rsid w:val="1FA40E26"/>
    <w:rsid w:val="20181E55"/>
    <w:rsid w:val="20200F8C"/>
    <w:rsid w:val="204B20BB"/>
    <w:rsid w:val="204F1D62"/>
    <w:rsid w:val="205C7FDB"/>
    <w:rsid w:val="206C021E"/>
    <w:rsid w:val="20CA763A"/>
    <w:rsid w:val="21294361"/>
    <w:rsid w:val="21661758"/>
    <w:rsid w:val="227635D6"/>
    <w:rsid w:val="22BA5BB9"/>
    <w:rsid w:val="230D784D"/>
    <w:rsid w:val="23867849"/>
    <w:rsid w:val="23B95F13"/>
    <w:rsid w:val="240D1D18"/>
    <w:rsid w:val="24174945"/>
    <w:rsid w:val="24212C83"/>
    <w:rsid w:val="244020ED"/>
    <w:rsid w:val="248B32E5"/>
    <w:rsid w:val="24942439"/>
    <w:rsid w:val="24B17D3C"/>
    <w:rsid w:val="24EE1B49"/>
    <w:rsid w:val="25513C6E"/>
    <w:rsid w:val="25867FD4"/>
    <w:rsid w:val="259C77F7"/>
    <w:rsid w:val="2609257A"/>
    <w:rsid w:val="262A3A04"/>
    <w:rsid w:val="266A16A4"/>
    <w:rsid w:val="26747E2C"/>
    <w:rsid w:val="269C7383"/>
    <w:rsid w:val="26B66697"/>
    <w:rsid w:val="273D46C2"/>
    <w:rsid w:val="27435A51"/>
    <w:rsid w:val="27466F3A"/>
    <w:rsid w:val="276F4A98"/>
    <w:rsid w:val="283B6E9A"/>
    <w:rsid w:val="28414686"/>
    <w:rsid w:val="287C746C"/>
    <w:rsid w:val="288D3427"/>
    <w:rsid w:val="28A32C4B"/>
    <w:rsid w:val="28C3509B"/>
    <w:rsid w:val="28D44D60"/>
    <w:rsid w:val="292F0982"/>
    <w:rsid w:val="29F55569"/>
    <w:rsid w:val="2A6D1762"/>
    <w:rsid w:val="2A9C2048"/>
    <w:rsid w:val="2ADE7DE6"/>
    <w:rsid w:val="2AF37C49"/>
    <w:rsid w:val="2BAA609E"/>
    <w:rsid w:val="2C0C0B07"/>
    <w:rsid w:val="2C1A3224"/>
    <w:rsid w:val="2C5F332D"/>
    <w:rsid w:val="2CDC497D"/>
    <w:rsid w:val="2D7E1439"/>
    <w:rsid w:val="2DA03BFD"/>
    <w:rsid w:val="2DA336ED"/>
    <w:rsid w:val="2DD45655"/>
    <w:rsid w:val="2E7221A8"/>
    <w:rsid w:val="2EB55486"/>
    <w:rsid w:val="2EC67693"/>
    <w:rsid w:val="2EE30245"/>
    <w:rsid w:val="2F081A5A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2FFF10AF"/>
    <w:rsid w:val="30AE03DF"/>
    <w:rsid w:val="30F6065E"/>
    <w:rsid w:val="312F3756"/>
    <w:rsid w:val="31496359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63820"/>
    <w:rsid w:val="32E20814"/>
    <w:rsid w:val="337771AE"/>
    <w:rsid w:val="33D97E69"/>
    <w:rsid w:val="33F94067"/>
    <w:rsid w:val="34480B4A"/>
    <w:rsid w:val="34821AD6"/>
    <w:rsid w:val="35A52FD0"/>
    <w:rsid w:val="35D501BC"/>
    <w:rsid w:val="36407D2B"/>
    <w:rsid w:val="365D6B2F"/>
    <w:rsid w:val="36BE3BE8"/>
    <w:rsid w:val="36DA26A7"/>
    <w:rsid w:val="36DB5CA6"/>
    <w:rsid w:val="37172D68"/>
    <w:rsid w:val="37227431"/>
    <w:rsid w:val="3756532C"/>
    <w:rsid w:val="37B01725"/>
    <w:rsid w:val="38061044"/>
    <w:rsid w:val="381C3783"/>
    <w:rsid w:val="382B0567"/>
    <w:rsid w:val="389E342F"/>
    <w:rsid w:val="38C5276A"/>
    <w:rsid w:val="39700927"/>
    <w:rsid w:val="39783C80"/>
    <w:rsid w:val="399551B1"/>
    <w:rsid w:val="39C46EC5"/>
    <w:rsid w:val="39D619B3"/>
    <w:rsid w:val="3A445910"/>
    <w:rsid w:val="3A557B1D"/>
    <w:rsid w:val="3A726921"/>
    <w:rsid w:val="3A765FE2"/>
    <w:rsid w:val="3B653D90"/>
    <w:rsid w:val="3B7D732B"/>
    <w:rsid w:val="3BAE3989"/>
    <w:rsid w:val="3BCC3E0F"/>
    <w:rsid w:val="3BD66A3C"/>
    <w:rsid w:val="3C424796"/>
    <w:rsid w:val="3C9E57AB"/>
    <w:rsid w:val="3CC044ED"/>
    <w:rsid w:val="3CC25530"/>
    <w:rsid w:val="3CC52D38"/>
    <w:rsid w:val="3CD13DD3"/>
    <w:rsid w:val="3D0715A3"/>
    <w:rsid w:val="3DA212CB"/>
    <w:rsid w:val="3DAA4092"/>
    <w:rsid w:val="3DBB238D"/>
    <w:rsid w:val="3DBD6105"/>
    <w:rsid w:val="3DBF6CE1"/>
    <w:rsid w:val="3E366D73"/>
    <w:rsid w:val="3E4405D4"/>
    <w:rsid w:val="3E6F38A3"/>
    <w:rsid w:val="3E8F1850"/>
    <w:rsid w:val="3E986804"/>
    <w:rsid w:val="3E9959F0"/>
    <w:rsid w:val="3E9C5D1B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1424E0"/>
    <w:rsid w:val="41171FD0"/>
    <w:rsid w:val="41641264"/>
    <w:rsid w:val="41700BEB"/>
    <w:rsid w:val="426C3C56"/>
    <w:rsid w:val="42786A9F"/>
    <w:rsid w:val="42BC1743"/>
    <w:rsid w:val="42EE53FF"/>
    <w:rsid w:val="43560B8E"/>
    <w:rsid w:val="43E4263E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925F0D"/>
    <w:rsid w:val="47A143DA"/>
    <w:rsid w:val="47E81E53"/>
    <w:rsid w:val="48A028AB"/>
    <w:rsid w:val="48B545A9"/>
    <w:rsid w:val="495C0DBE"/>
    <w:rsid w:val="49B77EAC"/>
    <w:rsid w:val="49CB1BAA"/>
    <w:rsid w:val="4A070E34"/>
    <w:rsid w:val="4A4F4589"/>
    <w:rsid w:val="4AB60164"/>
    <w:rsid w:val="4B8E06C7"/>
    <w:rsid w:val="4C934BC0"/>
    <w:rsid w:val="4CFB09F8"/>
    <w:rsid w:val="4D057181"/>
    <w:rsid w:val="4D447CA9"/>
    <w:rsid w:val="4D5123C6"/>
    <w:rsid w:val="4D6B792C"/>
    <w:rsid w:val="4DA16EA9"/>
    <w:rsid w:val="4DC333F8"/>
    <w:rsid w:val="4DDA060D"/>
    <w:rsid w:val="4DED1912"/>
    <w:rsid w:val="4E257ADB"/>
    <w:rsid w:val="4E353A96"/>
    <w:rsid w:val="4E8B1908"/>
    <w:rsid w:val="4EAD187E"/>
    <w:rsid w:val="4EB175C0"/>
    <w:rsid w:val="4EB62E28"/>
    <w:rsid w:val="4ECF3EEA"/>
    <w:rsid w:val="4F0911AA"/>
    <w:rsid w:val="4F1D6A04"/>
    <w:rsid w:val="4F560168"/>
    <w:rsid w:val="4F78309C"/>
    <w:rsid w:val="4F7E394E"/>
    <w:rsid w:val="50125E3D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E57838"/>
    <w:rsid w:val="542B3971"/>
    <w:rsid w:val="54335EE7"/>
    <w:rsid w:val="54336CC9"/>
    <w:rsid w:val="5463310B"/>
    <w:rsid w:val="54AF45A2"/>
    <w:rsid w:val="54C142D5"/>
    <w:rsid w:val="55254864"/>
    <w:rsid w:val="553C395C"/>
    <w:rsid w:val="55A559A5"/>
    <w:rsid w:val="55BA1450"/>
    <w:rsid w:val="56037691"/>
    <w:rsid w:val="56083D8A"/>
    <w:rsid w:val="56135E24"/>
    <w:rsid w:val="564017AC"/>
    <w:rsid w:val="567B0721"/>
    <w:rsid w:val="56F97D56"/>
    <w:rsid w:val="57081D47"/>
    <w:rsid w:val="57122BC6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6A2FD1"/>
    <w:rsid w:val="5B9067AF"/>
    <w:rsid w:val="5BB5218E"/>
    <w:rsid w:val="5BD82630"/>
    <w:rsid w:val="5BFE5E0F"/>
    <w:rsid w:val="5C0D7E00"/>
    <w:rsid w:val="5CAA564F"/>
    <w:rsid w:val="5D6A375C"/>
    <w:rsid w:val="5DA9556A"/>
    <w:rsid w:val="5E361890"/>
    <w:rsid w:val="5EDA046D"/>
    <w:rsid w:val="5EE237C6"/>
    <w:rsid w:val="5EFD0600"/>
    <w:rsid w:val="5EFF7ED4"/>
    <w:rsid w:val="5F3D09FC"/>
    <w:rsid w:val="5F7679C4"/>
    <w:rsid w:val="5F7F2DC3"/>
    <w:rsid w:val="5FBF1411"/>
    <w:rsid w:val="601A09BC"/>
    <w:rsid w:val="60395667"/>
    <w:rsid w:val="609A65FC"/>
    <w:rsid w:val="60AA0313"/>
    <w:rsid w:val="610572F8"/>
    <w:rsid w:val="610D33E8"/>
    <w:rsid w:val="615E35D8"/>
    <w:rsid w:val="619568CD"/>
    <w:rsid w:val="61E67129"/>
    <w:rsid w:val="621A5025"/>
    <w:rsid w:val="62CC27C3"/>
    <w:rsid w:val="635A7DCF"/>
    <w:rsid w:val="637D586B"/>
    <w:rsid w:val="63872EA4"/>
    <w:rsid w:val="63F26259"/>
    <w:rsid w:val="64061D04"/>
    <w:rsid w:val="640A365A"/>
    <w:rsid w:val="640B3FF3"/>
    <w:rsid w:val="640E2967"/>
    <w:rsid w:val="64754794"/>
    <w:rsid w:val="64FD7B2B"/>
    <w:rsid w:val="657B402C"/>
    <w:rsid w:val="65BC08CD"/>
    <w:rsid w:val="65C07C91"/>
    <w:rsid w:val="661029C7"/>
    <w:rsid w:val="66CA526B"/>
    <w:rsid w:val="67C12792"/>
    <w:rsid w:val="67DD0FCE"/>
    <w:rsid w:val="687436E1"/>
    <w:rsid w:val="687A681D"/>
    <w:rsid w:val="68D73C6F"/>
    <w:rsid w:val="690B56C7"/>
    <w:rsid w:val="696A4D66"/>
    <w:rsid w:val="69867965"/>
    <w:rsid w:val="698C05B6"/>
    <w:rsid w:val="699456BD"/>
    <w:rsid w:val="69E2467A"/>
    <w:rsid w:val="69EC54F9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DF30F3"/>
    <w:rsid w:val="6D282CEC"/>
    <w:rsid w:val="6D3F05F3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D23894"/>
    <w:rsid w:val="6FD76303"/>
    <w:rsid w:val="6FE23626"/>
    <w:rsid w:val="70383246"/>
    <w:rsid w:val="703D260A"/>
    <w:rsid w:val="7060279C"/>
    <w:rsid w:val="70626FA0"/>
    <w:rsid w:val="70756EB2"/>
    <w:rsid w:val="7258197D"/>
    <w:rsid w:val="72C60FDD"/>
    <w:rsid w:val="72EB27F1"/>
    <w:rsid w:val="730241B0"/>
    <w:rsid w:val="731A1328"/>
    <w:rsid w:val="73410663"/>
    <w:rsid w:val="73587D13"/>
    <w:rsid w:val="743B50B2"/>
    <w:rsid w:val="74BF5CE3"/>
    <w:rsid w:val="750977D2"/>
    <w:rsid w:val="75263FB5"/>
    <w:rsid w:val="75693EA1"/>
    <w:rsid w:val="75834F63"/>
    <w:rsid w:val="75B25848"/>
    <w:rsid w:val="766528BB"/>
    <w:rsid w:val="768F268A"/>
    <w:rsid w:val="76C92E49"/>
    <w:rsid w:val="77426425"/>
    <w:rsid w:val="77617526"/>
    <w:rsid w:val="777A05E8"/>
    <w:rsid w:val="781A1483"/>
    <w:rsid w:val="781F0851"/>
    <w:rsid w:val="7820118F"/>
    <w:rsid w:val="782A7918"/>
    <w:rsid w:val="78B00E0E"/>
    <w:rsid w:val="78C94F9D"/>
    <w:rsid w:val="78CF226D"/>
    <w:rsid w:val="78FD502C"/>
    <w:rsid w:val="796450AB"/>
    <w:rsid w:val="79EB30D7"/>
    <w:rsid w:val="79F01271"/>
    <w:rsid w:val="7A036672"/>
    <w:rsid w:val="7A293F0A"/>
    <w:rsid w:val="7A5E24AA"/>
    <w:rsid w:val="7ACB4CB6"/>
    <w:rsid w:val="7B02692A"/>
    <w:rsid w:val="7B3960C4"/>
    <w:rsid w:val="7B486307"/>
    <w:rsid w:val="7B5B603A"/>
    <w:rsid w:val="7B5C744A"/>
    <w:rsid w:val="7BA55C3B"/>
    <w:rsid w:val="7BB8348D"/>
    <w:rsid w:val="7BD858DD"/>
    <w:rsid w:val="7BE9361F"/>
    <w:rsid w:val="7C6B49A3"/>
    <w:rsid w:val="7C765821"/>
    <w:rsid w:val="7C856E44"/>
    <w:rsid w:val="7CD24A22"/>
    <w:rsid w:val="7D366D5F"/>
    <w:rsid w:val="7D6F7D96"/>
    <w:rsid w:val="7DD722F0"/>
    <w:rsid w:val="7E32210A"/>
    <w:rsid w:val="7EA1645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7F2C3F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next w:val="8"/>
    <w:autoRedefine/>
    <w:qFormat/>
    <w:uiPriority w:val="0"/>
    <w:pPr>
      <w:spacing w:after="120" w:afterLines="0" w:afterAutospacing="0"/>
    </w:pPr>
  </w:style>
  <w:style w:type="paragraph" w:customStyle="1" w:styleId="8">
    <w:name w:val="xl27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 w:line="480" w:lineRule="exact"/>
      <w:jc w:val="left"/>
      <w:textAlignment w:val="center"/>
    </w:pPr>
    <w:rPr>
      <w:rFonts w:ascii="Arial Unicode MS" w:hAnsi="Arial Unicode MS" w:eastAsia="Arial Unicode MS" w:cs="Arial Unicode MS"/>
      <w:kern w:val="0"/>
      <w:sz w:val="20"/>
      <w:szCs w:val="20"/>
    </w:rPr>
  </w:style>
  <w:style w:type="paragraph" w:styleId="9">
    <w:name w:val="Body Text Indent"/>
    <w:basedOn w:val="1"/>
    <w:next w:val="10"/>
    <w:qFormat/>
    <w:uiPriority w:val="0"/>
    <w:pPr>
      <w:spacing w:after="120" w:afterLines="0" w:afterAutospacing="0"/>
      <w:ind w:left="420" w:leftChars="200"/>
    </w:pPr>
  </w:style>
  <w:style w:type="paragraph" w:customStyle="1" w:styleId="10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1">
    <w:name w:val="footer"/>
    <w:basedOn w:val="1"/>
    <w:link w:val="3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2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5"/>
    <w:next w:val="1"/>
    <w:link w:val="28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6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7">
    <w:name w:val="Body Text First Indent 2"/>
    <w:basedOn w:val="9"/>
    <w:next w:val="1"/>
    <w:qFormat/>
    <w:uiPriority w:val="0"/>
    <w:pPr>
      <w:ind w:firstLine="420" w:firstLineChars="200"/>
    </w:pPr>
  </w:style>
  <w:style w:type="table" w:styleId="19">
    <w:name w:val="Table Grid"/>
    <w:basedOn w:val="18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Hyperlink"/>
    <w:basedOn w:val="20"/>
    <w:qFormat/>
    <w:uiPriority w:val="0"/>
    <w:rPr>
      <w:color w:val="0000FF"/>
      <w:u w:val="single"/>
    </w:rPr>
  </w:style>
  <w:style w:type="paragraph" w:customStyle="1" w:styleId="23">
    <w:name w:val="0正文"/>
    <w:basedOn w:val="1"/>
    <w:qFormat/>
    <w:uiPriority w:val="0"/>
    <w:pPr>
      <w:ind w:firstLine="480" w:firstLineChars="200"/>
    </w:pPr>
  </w:style>
  <w:style w:type="character" w:customStyle="1" w:styleId="24">
    <w:name w:val="标题 2 字符"/>
    <w:basedOn w:val="20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6">
    <w:name w:val="标题 3 字符"/>
    <w:basedOn w:val="20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7">
    <w:name w:val="标题 4 字符"/>
    <w:basedOn w:val="20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8">
    <w:name w:val="标题 字符"/>
    <w:basedOn w:val="20"/>
    <w:link w:val="15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9">
    <w:name w:val="页眉 字符"/>
    <w:basedOn w:val="20"/>
    <w:link w:val="12"/>
    <w:autoRedefine/>
    <w:qFormat/>
    <w:uiPriority w:val="99"/>
    <w:rPr>
      <w:sz w:val="18"/>
      <w:szCs w:val="18"/>
    </w:rPr>
  </w:style>
  <w:style w:type="character" w:customStyle="1" w:styleId="30">
    <w:name w:val="页脚 字符"/>
    <w:basedOn w:val="20"/>
    <w:link w:val="11"/>
    <w:autoRedefine/>
    <w:qFormat/>
    <w:uiPriority w:val="99"/>
    <w:rPr>
      <w:sz w:val="18"/>
      <w:szCs w:val="18"/>
    </w:rPr>
  </w:style>
  <w:style w:type="character" w:customStyle="1" w:styleId="31">
    <w:name w:val="标题 1 字符"/>
    <w:basedOn w:val="20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2">
    <w:name w:val="副标题 字符"/>
    <w:basedOn w:val="20"/>
    <w:link w:val="13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4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6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7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8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9">
    <w:name w:val="font31"/>
    <w:basedOn w:val="20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40">
    <w:name w:val="font21"/>
    <w:basedOn w:val="20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1">
    <w:name w:val="font41"/>
    <w:basedOn w:val="20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2">
    <w:name w:val="font11"/>
    <w:basedOn w:val="20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3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4">
    <w:name w:val="列出段落1"/>
    <w:basedOn w:val="1"/>
    <w:qFormat/>
    <w:uiPriority w:val="34"/>
    <w:pPr>
      <w:ind w:firstLine="420" w:firstLineChars="200"/>
    </w:pPr>
  </w:style>
  <w:style w:type="paragraph" w:customStyle="1" w:styleId="45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package" Target="embeddings/Microsoft_Visio___2.vsdx"/><Relationship Id="rId8" Type="http://schemas.openxmlformats.org/officeDocument/2006/relationships/image" Target="media/image3.emf"/><Relationship Id="rId7" Type="http://schemas.openxmlformats.org/officeDocument/2006/relationships/package" Target="embeddings/Microsoft_Visio___1.vsdx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emf"/><Relationship Id="rId17" Type="http://schemas.openxmlformats.org/officeDocument/2006/relationships/package" Target="embeddings/Microsoft_Visio___5.vsdx"/><Relationship Id="rId16" Type="http://schemas.openxmlformats.org/officeDocument/2006/relationships/image" Target="media/image7.emf"/><Relationship Id="rId15" Type="http://schemas.openxmlformats.org/officeDocument/2006/relationships/oleObject" Target="embeddings/oleObject2.bin"/><Relationship Id="rId14" Type="http://schemas.openxmlformats.org/officeDocument/2006/relationships/image" Target="media/image6.emf"/><Relationship Id="rId13" Type="http://schemas.openxmlformats.org/officeDocument/2006/relationships/package" Target="embeddings/Microsoft_Visio___4.vsdx"/><Relationship Id="rId12" Type="http://schemas.openxmlformats.org/officeDocument/2006/relationships/image" Target="media/image5.emf"/><Relationship Id="rId11" Type="http://schemas.openxmlformats.org/officeDocument/2006/relationships/package" Target="embeddings/Microsoft_Visio___3.vsdx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2950</Words>
  <Characters>2975</Characters>
  <Lines>35</Lines>
  <Paragraphs>9</Paragraphs>
  <TotalTime>2</TotalTime>
  <ScaleCrop>false</ScaleCrop>
  <LinksUpToDate>false</LinksUpToDate>
  <CharactersWithSpaces>2987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2026-05-20T07:38:09Z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eyJoZGlkIjoiYjVlOTE0MGRkN2E0MWU0MDEyNjJkNTdlYmU3ZGQ5YzUiLCJ1c2VySWQiOiI0NDQ3MDkxMjgifQ==</vt:lpwstr>
  </property>
</Properties>
</file>