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971FD0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硫磺储运环节安全管理体系构建与实践研究</w:t>
      </w:r>
    </w:p>
    <w:p w14:paraId="6357A04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杨晓攀</w:t>
      </w:r>
    </w:p>
    <w:p w14:paraId="26AB25E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34A98364">
      <w:pPr>
        <w:rPr>
          <w:rFonts w:hint="eastAsia" w:ascii="黑体" w:hAnsi="黑体" w:eastAsia="黑体" w:cs="黑体"/>
          <w:sz w:val="24"/>
          <w:szCs w:val="24"/>
        </w:rPr>
      </w:pPr>
    </w:p>
    <w:p w14:paraId="3F564A1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硫磺作为化工、磷肥、硫酸行业的关键基础原料，具有易燃、易爆、易析毒、强腐蚀</w:t>
      </w:r>
      <w:r>
        <w:rPr>
          <w:rFonts w:hint="eastAsia" w:ascii="宋体" w:hAnsi="宋体" w:eastAsia="宋体" w:cs="宋体"/>
          <w:b w:val="0"/>
          <w:bCs/>
          <w:sz w:val="21"/>
          <w:szCs w:val="21"/>
          <w:lang w:val="en-US" w:eastAsia="zh-CN"/>
        </w:rPr>
        <w:t>等多重危险特性，其储运环节安全管控水平直接决定大型硫磺制酸装置的连续稳定运行与本质安全水平[1]。以800kt/a硫磺制酸装置为工程实例，系统分析固体硫磺卸车、输送、堆存、快速熔硫及液体硫磺储存、密闭输送全流程的危险有害因素，建立基于风险分级管控与隐患排查治理双重预防机制的一体化安全管理体系，提出粉尘防爆、静电防控、有毒气体防护、防泄漏、防堵塞、防烫伤等关键控制技术，明确设备本质安全设计、全流程监测预警、标准化应急处置等实施路径[2]。工程实践表明，该体系可显著降低火灾、爆炸、中毒、泄漏等事故风险，为同类型硫磺储运系统安全设计、运行管理与应急处置提供理论依据与技术参考。</w:t>
      </w:r>
    </w:p>
    <w:p w14:paraId="4F53E89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硫磺 储运系统 安全管理 粉尘爆炸 静电防护 危险化学品 本质安全 应急处置</w:t>
      </w:r>
    </w:p>
    <w:p w14:paraId="08362F2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0B4044B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引言</w:t>
      </w:r>
    </w:p>
    <w:p w14:paraId="4B33435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硫磺是《危险化学品目录（2015版）》明确列明的易燃固体、易制爆化学品，在硫磺制酸、磷复肥生产中占据核心原料地位</w:t>
      </w:r>
      <w:r>
        <w:rPr>
          <w:rFonts w:hint="eastAsia" w:ascii="宋体" w:hAnsi="宋体" w:eastAsia="宋体" w:cs="宋体"/>
          <w:sz w:val="21"/>
          <w:szCs w:val="21"/>
          <w:vertAlign w:val="superscript"/>
        </w:rPr>
        <w:t>[</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vertAlign w:val="superscript"/>
        </w:rPr>
        <w:t>]</w:t>
      </w:r>
      <w:r>
        <w:rPr>
          <w:rFonts w:hint="eastAsia" w:ascii="宋体" w:hAnsi="宋体" w:eastAsia="宋体" w:cs="宋体"/>
          <w:sz w:val="21"/>
          <w:szCs w:val="21"/>
        </w:rPr>
        <w:t>。随着大型化、连续化、密闭化硫磺制酸装置快速推广，硫磺储运呈现装卸量大、输送线路长、高温工况多、有毒有害气体易积聚等特点，传统人工巡检与经验式管理难以满足现代化工安全要求。在装卸、皮带输送、库内堆存、熔融、液硫输送等环节中，硫磺粉尘爆炸、液硫火灾、硫化氢/二氧化硫中毒、高温喷溅烫伤、设备腐蚀泄漏等事故风险突出，已成为制约装置长周期安全运行的关键瓶颈</w:t>
      </w:r>
      <w:r>
        <w:rPr>
          <w:rFonts w:hint="eastAsia" w:ascii="宋体" w:hAnsi="宋体" w:eastAsia="宋体" w:cs="宋体"/>
          <w:sz w:val="21"/>
          <w:szCs w:val="21"/>
          <w:vertAlign w:val="superscript"/>
        </w:rPr>
        <w:t>[</w:t>
      </w:r>
      <w:r>
        <w:rPr>
          <w:rFonts w:hint="eastAsia" w:ascii="宋体" w:hAnsi="宋体" w:eastAsia="宋体" w:cs="宋体"/>
          <w:sz w:val="21"/>
          <w:szCs w:val="21"/>
          <w:vertAlign w:val="superscript"/>
          <w:lang w:val="en-US" w:eastAsia="zh-CN"/>
        </w:rPr>
        <w:t>4</w:t>
      </w:r>
      <w:r>
        <w:rPr>
          <w:rFonts w:hint="eastAsia" w:ascii="宋体" w:hAnsi="宋体" w:eastAsia="宋体" w:cs="宋体"/>
          <w:sz w:val="21"/>
          <w:szCs w:val="21"/>
          <w:vertAlign w:val="superscript"/>
        </w:rPr>
        <w:t>]</w:t>
      </w:r>
      <w:r>
        <w:rPr>
          <w:rFonts w:hint="eastAsia" w:ascii="宋体" w:hAnsi="宋体" w:eastAsia="宋体" w:cs="宋体"/>
          <w:sz w:val="21"/>
          <w:szCs w:val="21"/>
        </w:rPr>
        <w:t>。</w:t>
      </w:r>
    </w:p>
    <w:p w14:paraId="4CFBCD3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目前国内硫磺储运安全研究多集中于单一风险防控或设备改造，缺乏全流程、系统化的管理体系构建。</w:t>
      </w:r>
      <w:r>
        <w:rPr>
          <w:rFonts w:hint="eastAsia" w:ascii="宋体" w:hAnsi="宋体" w:eastAsia="宋体" w:cs="宋体"/>
          <w:sz w:val="21"/>
          <w:szCs w:val="21"/>
          <w:lang w:val="en-US" w:eastAsia="zh-CN"/>
        </w:rPr>
        <w:t>研究对象的</w:t>
      </w:r>
      <w:r>
        <w:rPr>
          <w:rFonts w:hint="eastAsia" w:ascii="宋体" w:hAnsi="宋体" w:eastAsia="宋体" w:cs="宋体"/>
          <w:sz w:val="21"/>
          <w:szCs w:val="21"/>
        </w:rPr>
        <w:t>硫磺制酸装置采用铁路散卸—皮带输送—库内堆存—快速熔硫—液硫密闭输送一体化流程，涉及桥式起重机、带式输送机、快速熔硫槽、液硫贮槽、蒸汽夹套管道等关键设备，储运链条长、工况复杂、风险耦合性强</w:t>
      </w:r>
      <w:r>
        <w:rPr>
          <w:rFonts w:hint="eastAsia" w:ascii="宋体" w:hAnsi="宋体" w:eastAsia="宋体" w:cs="宋体"/>
          <w:sz w:val="21"/>
          <w:szCs w:val="21"/>
          <w:vertAlign w:val="superscript"/>
        </w:rPr>
        <w:t>[</w:t>
      </w:r>
      <w:r>
        <w:rPr>
          <w:rFonts w:hint="eastAsia" w:ascii="宋体" w:hAnsi="宋体" w:eastAsia="宋体" w:cs="宋体"/>
          <w:sz w:val="21"/>
          <w:szCs w:val="21"/>
          <w:vertAlign w:val="superscript"/>
          <w:lang w:val="en-US" w:eastAsia="zh-CN"/>
        </w:rPr>
        <w:t>5</w:t>
      </w:r>
      <w:r>
        <w:rPr>
          <w:rFonts w:hint="eastAsia" w:ascii="宋体" w:hAnsi="宋体" w:eastAsia="宋体" w:cs="宋体"/>
          <w:sz w:val="21"/>
          <w:szCs w:val="21"/>
          <w:vertAlign w:val="superscript"/>
        </w:rPr>
        <w:t>]</w:t>
      </w:r>
      <w:r>
        <w:rPr>
          <w:rFonts w:hint="eastAsia" w:ascii="宋体" w:hAnsi="宋体" w:eastAsia="宋体" w:cs="宋体"/>
          <w:sz w:val="21"/>
          <w:szCs w:val="21"/>
        </w:rPr>
        <w:t>。基于HAZOP分析、作业危害分析（JSA）与现场安全操作规程</w:t>
      </w:r>
      <w:r>
        <w:rPr>
          <w:rFonts w:hint="eastAsia" w:ascii="宋体" w:hAnsi="宋体" w:eastAsia="宋体" w:cs="宋体"/>
          <w:sz w:val="21"/>
          <w:szCs w:val="21"/>
          <w:vertAlign w:val="superscript"/>
        </w:rPr>
        <w:t>[</w:t>
      </w:r>
      <w:r>
        <w:rPr>
          <w:rFonts w:hint="eastAsia" w:ascii="宋体" w:hAnsi="宋体" w:eastAsia="宋体" w:cs="宋体"/>
          <w:sz w:val="21"/>
          <w:szCs w:val="21"/>
          <w:vertAlign w:val="superscript"/>
          <w:lang w:val="en-US" w:eastAsia="zh-CN"/>
        </w:rPr>
        <w:t>6</w:t>
      </w:r>
      <w:r>
        <w:rPr>
          <w:rFonts w:hint="eastAsia" w:ascii="宋体" w:hAnsi="宋体" w:eastAsia="宋体" w:cs="宋体"/>
          <w:sz w:val="21"/>
          <w:szCs w:val="21"/>
          <w:vertAlign w:val="superscript"/>
        </w:rPr>
        <w:t>]</w:t>
      </w:r>
      <w:r>
        <w:rPr>
          <w:rFonts w:hint="eastAsia" w:ascii="宋体" w:hAnsi="宋体" w:eastAsia="宋体" w:cs="宋体"/>
          <w:sz w:val="21"/>
          <w:szCs w:val="21"/>
        </w:rPr>
        <w:t>，本文构建一套覆盖制度体系、风险防控、工艺控制、设备保障、监测预警、应急管理的硫磺储运安全管理体系，为大型硫磺制酸装置储运环节安全标准化、规范化运行提供实践范式。</w:t>
      </w:r>
    </w:p>
    <w:p w14:paraId="37743D9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硫磺储运危险特性与全流程风险辨识</w:t>
      </w:r>
    </w:p>
    <w:p w14:paraId="45525EA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硫磺核心危险特性</w:t>
      </w:r>
    </w:p>
    <w:p w14:paraId="7DDC86D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硫磺理化特性决定其在储运环节具有显著的火灾爆炸、中毒窒息、高温烫伤、腐蚀泄漏与粉尘危害，核心危险特性及对应储运风险见表1。</w:t>
      </w:r>
    </w:p>
    <w:p w14:paraId="3D1259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表1</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硫磺核心危险特性及储运环节典型风险</w:t>
      </w:r>
    </w:p>
    <w:tbl>
      <w:tblPr>
        <w:tblStyle w:val="17"/>
        <w:tblW w:w="860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77"/>
        <w:gridCol w:w="4899"/>
        <w:gridCol w:w="2632"/>
      </w:tblGrid>
      <w:tr w14:paraId="4E6D88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077" w:type="dxa"/>
            <w:tcBorders>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1C5808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危险类别</w:t>
            </w:r>
          </w:p>
        </w:tc>
        <w:tc>
          <w:tcPr>
            <w:tcW w:w="4899" w:type="dxa"/>
            <w:tcBorders>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438B19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关键危险特性描述</w:t>
            </w:r>
          </w:p>
        </w:tc>
        <w:tc>
          <w:tcPr>
            <w:tcW w:w="2632" w:type="dxa"/>
            <w:tcBorders>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6C052D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储运环节典型事故风险</w:t>
            </w:r>
          </w:p>
        </w:tc>
      </w:tr>
      <w:tr w14:paraId="21EBCA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1077"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6357D4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燃烧爆炸危险性</w:t>
            </w:r>
          </w:p>
        </w:tc>
        <w:tc>
          <w:tcPr>
            <w:tcW w:w="4899"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01628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粉尘爆炸下限2.3g/m³，自燃点约232℃，点火能量极低，遇静电、摩擦、明火、高温表面极易爆燃</w:t>
            </w:r>
          </w:p>
        </w:tc>
        <w:tc>
          <w:tcPr>
            <w:tcW w:w="2632"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059640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地坑粉尘爆炸、皮带摩擦起火、液硫自燃、硫磺库爆燃</w:t>
            </w:r>
          </w:p>
        </w:tc>
      </w:tr>
      <w:tr w14:paraId="3795FB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107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05538E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有毒有害性</w:t>
            </w:r>
          </w:p>
        </w:tc>
        <w:tc>
          <w:tcPr>
            <w:tcW w:w="4899"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EFA09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高温分解释放H</w:t>
            </w:r>
            <w:r>
              <w:rPr>
                <w:rFonts w:hint="eastAsia" w:ascii="宋体" w:hAnsi="宋体" w:eastAsia="宋体" w:cs="宋体"/>
                <w:kern w:val="0"/>
                <w:sz w:val="18"/>
                <w:szCs w:val="18"/>
                <w:vertAlign w:val="subscript"/>
                <w:lang w:val="en-US" w:eastAsia="zh-CN" w:bidi="ar"/>
              </w:rPr>
              <w:t>2</w:t>
            </w:r>
            <w:r>
              <w:rPr>
                <w:rFonts w:hint="eastAsia" w:ascii="宋体" w:hAnsi="宋体" w:eastAsia="宋体" w:cs="宋体"/>
                <w:kern w:val="0"/>
                <w:sz w:val="18"/>
                <w:szCs w:val="18"/>
                <w:lang w:val="en-US" w:eastAsia="zh-CN" w:bidi="ar"/>
              </w:rPr>
              <w:t>S、SO</w:t>
            </w:r>
            <w:r>
              <w:rPr>
                <w:rFonts w:hint="eastAsia" w:ascii="宋体" w:hAnsi="宋体" w:eastAsia="宋体" w:cs="宋体"/>
                <w:kern w:val="0"/>
                <w:sz w:val="18"/>
                <w:szCs w:val="18"/>
                <w:vertAlign w:val="subscript"/>
                <w:lang w:val="en-US" w:eastAsia="zh-CN" w:bidi="ar"/>
              </w:rPr>
              <w:t>2</w:t>
            </w:r>
            <w:r>
              <w:rPr>
                <w:rFonts w:hint="eastAsia" w:ascii="宋体" w:hAnsi="宋体" w:eastAsia="宋体" w:cs="宋体"/>
                <w:kern w:val="0"/>
                <w:sz w:val="18"/>
                <w:szCs w:val="18"/>
                <w:lang w:val="en-US" w:eastAsia="zh-CN" w:bidi="ar"/>
              </w:rPr>
              <w:t>；H</w:t>
            </w:r>
            <w:r>
              <w:rPr>
                <w:rFonts w:hint="eastAsia" w:ascii="宋体" w:hAnsi="宋体" w:eastAsia="宋体" w:cs="宋体"/>
                <w:kern w:val="0"/>
                <w:sz w:val="18"/>
                <w:szCs w:val="18"/>
                <w:vertAlign w:val="subscript"/>
                <w:lang w:val="en-US" w:eastAsia="zh-CN" w:bidi="ar"/>
              </w:rPr>
              <w:t>2</w:t>
            </w:r>
            <w:r>
              <w:rPr>
                <w:rFonts w:hint="eastAsia" w:ascii="宋体" w:hAnsi="宋体" w:eastAsia="宋体" w:cs="宋体"/>
                <w:kern w:val="0"/>
                <w:sz w:val="18"/>
                <w:szCs w:val="18"/>
                <w:lang w:val="en-US" w:eastAsia="zh-CN" w:bidi="ar"/>
              </w:rPr>
              <w:t>S：8ppm一级报警、16ppm二级报警，高浓度可致闪电型死亡</w:t>
            </w:r>
          </w:p>
        </w:tc>
        <w:tc>
          <w:tcPr>
            <w:tcW w:w="263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3C772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密闭空间中毒、呼吸道损伤、大范围有毒气体扩散</w:t>
            </w:r>
          </w:p>
        </w:tc>
      </w:tr>
      <w:tr w14:paraId="1580FF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107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B2B03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腐蚀性</w:t>
            </w:r>
          </w:p>
        </w:tc>
        <w:tc>
          <w:tcPr>
            <w:tcW w:w="4899"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AC545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氧化生成微量硫酸，对碳钢设备、管道、加热盘管形成酸性腐蚀</w:t>
            </w:r>
          </w:p>
        </w:tc>
        <w:tc>
          <w:tcPr>
            <w:tcW w:w="263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7BCC4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盘管泄漏、管道穿孔、液硫喷溅、设备结构性失效</w:t>
            </w:r>
          </w:p>
        </w:tc>
      </w:tr>
      <w:tr w14:paraId="0C8C7F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107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22351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物理危险性</w:t>
            </w:r>
          </w:p>
        </w:tc>
        <w:tc>
          <w:tcPr>
            <w:tcW w:w="4899"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2568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液硫操作温度130~150℃，接触人体造成深度烫伤；管道超压易发生物理爆裂</w:t>
            </w:r>
          </w:p>
        </w:tc>
        <w:tc>
          <w:tcPr>
            <w:tcW w:w="263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4F87E8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人员烫伤、物料泄漏、设备损坏、非计划停车</w:t>
            </w:r>
          </w:p>
        </w:tc>
      </w:tr>
      <w:tr w14:paraId="678A63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c>
          <w:tcPr>
            <w:tcW w:w="1077" w:type="dxa"/>
            <w:tcBorders>
              <w:top w:val="single" w:color="CCCCCC" w:sz="4" w:space="0"/>
              <w:left w:val="single" w:color="CCCCCC" w:sz="4" w:space="0"/>
              <w:right w:val="single" w:color="CCCCCC" w:sz="4" w:space="0"/>
            </w:tcBorders>
            <w:shd w:val="clear" w:color="auto" w:fill="auto"/>
            <w:tcMar>
              <w:top w:w="96" w:type="dxa"/>
              <w:left w:w="96" w:type="dxa"/>
              <w:bottom w:w="96" w:type="dxa"/>
              <w:right w:w="96" w:type="dxa"/>
            </w:tcMar>
            <w:vAlign w:val="center"/>
          </w:tcPr>
          <w:p w14:paraId="663DCE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粉尘危害性</w:t>
            </w:r>
          </w:p>
        </w:tc>
        <w:tc>
          <w:tcPr>
            <w:tcW w:w="4899" w:type="dxa"/>
            <w:tcBorders>
              <w:top w:val="single" w:color="CCCCCC" w:sz="4" w:space="0"/>
              <w:left w:val="single" w:color="CCCCCC" w:sz="4" w:space="0"/>
              <w:right w:val="single" w:color="CCCCCC" w:sz="4" w:space="0"/>
            </w:tcBorders>
            <w:shd w:val="clear" w:color="auto" w:fill="auto"/>
            <w:tcMar>
              <w:top w:w="96" w:type="dxa"/>
              <w:left w:w="96" w:type="dxa"/>
              <w:bottom w:w="96" w:type="dxa"/>
              <w:right w:w="96" w:type="dxa"/>
            </w:tcMar>
            <w:vAlign w:val="center"/>
          </w:tcPr>
          <w:p w14:paraId="05A66E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装卸、输送产生持续性粉尘，长期吸入可引发尘肺病</w:t>
            </w:r>
          </w:p>
        </w:tc>
        <w:tc>
          <w:tcPr>
            <w:tcW w:w="2632" w:type="dxa"/>
            <w:tcBorders>
              <w:top w:val="single" w:color="CCCCCC" w:sz="4" w:space="0"/>
              <w:left w:val="single" w:color="CCCCCC" w:sz="4" w:space="0"/>
              <w:right w:val="single" w:color="CCCCCC" w:sz="4" w:space="0"/>
            </w:tcBorders>
            <w:shd w:val="clear" w:color="auto" w:fill="auto"/>
            <w:tcMar>
              <w:top w:w="96" w:type="dxa"/>
              <w:left w:w="96" w:type="dxa"/>
              <w:bottom w:w="96" w:type="dxa"/>
              <w:right w:w="96" w:type="dxa"/>
            </w:tcMar>
            <w:vAlign w:val="center"/>
          </w:tcPr>
          <w:p w14:paraId="2E0F49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职业健康损伤、环境污染、防爆区域等级提升</w:t>
            </w:r>
          </w:p>
        </w:tc>
      </w:tr>
    </w:tbl>
    <w:p w14:paraId="5735166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储运全流程关键风险节点</w:t>
      </w:r>
    </w:p>
    <w:p w14:paraId="4409895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结合硫磺制酸装置实际工艺流程，将储运划分为固体硫磺储运与液体硫磺储运两大系统，关键环节、核心设备、主要风险及诱因如表2所示。</w:t>
      </w:r>
    </w:p>
    <w:p w14:paraId="16321B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表2</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硫磺储运全流程关键风险节点清单</w:t>
      </w:r>
    </w:p>
    <w:tbl>
      <w:tblPr>
        <w:tblStyle w:val="17"/>
        <w:tblW w:w="84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7"/>
        <w:gridCol w:w="1961"/>
        <w:gridCol w:w="2522"/>
        <w:gridCol w:w="3048"/>
      </w:tblGrid>
      <w:tr w14:paraId="1D442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967" w:type="dxa"/>
            <w:tcBorders>
              <w:top w:val="single" w:color="auto" w:sz="12" w:space="0"/>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4FA816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bookmarkStart w:id="0" w:name="_GoBack"/>
            <w:r>
              <w:rPr>
                <w:rFonts w:hint="eastAsia" w:ascii="宋体" w:hAnsi="宋体" w:eastAsia="宋体" w:cs="宋体"/>
                <w:b/>
                <w:kern w:val="0"/>
                <w:sz w:val="18"/>
                <w:szCs w:val="18"/>
                <w:lang w:val="en-US" w:eastAsia="zh-CN" w:bidi="ar"/>
              </w:rPr>
              <w:t>工艺流程环节</w:t>
            </w:r>
          </w:p>
        </w:tc>
        <w:tc>
          <w:tcPr>
            <w:tcW w:w="1961" w:type="dxa"/>
            <w:tcBorders>
              <w:top w:val="single" w:color="auto" w:sz="12" w:space="0"/>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406449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核心工艺设备</w:t>
            </w:r>
          </w:p>
        </w:tc>
        <w:tc>
          <w:tcPr>
            <w:tcW w:w="2522" w:type="dxa"/>
            <w:tcBorders>
              <w:top w:val="single" w:color="auto" w:sz="12" w:space="0"/>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56A2B5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主要安全风险</w:t>
            </w:r>
          </w:p>
        </w:tc>
        <w:tc>
          <w:tcPr>
            <w:tcW w:w="3048" w:type="dxa"/>
            <w:tcBorders>
              <w:top w:val="single" w:color="auto" w:sz="12" w:space="0"/>
              <w:left w:val="single" w:color="CCCCCC" w:sz="4" w:space="0"/>
              <w:bottom w:val="single" w:color="auto" w:sz="8" w:space="0"/>
              <w:right w:val="single" w:color="CCCCCC" w:sz="4" w:space="0"/>
            </w:tcBorders>
            <w:shd w:val="clear" w:color="auto" w:fill="auto"/>
            <w:tcMar>
              <w:top w:w="96" w:type="dxa"/>
              <w:left w:w="96" w:type="dxa"/>
              <w:bottom w:w="96" w:type="dxa"/>
              <w:right w:w="96" w:type="dxa"/>
            </w:tcMar>
            <w:vAlign w:val="center"/>
          </w:tcPr>
          <w:p w14:paraId="51C8E6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18"/>
                <w:szCs w:val="18"/>
              </w:rPr>
            </w:pPr>
            <w:r>
              <w:rPr>
                <w:rFonts w:hint="eastAsia" w:ascii="宋体" w:hAnsi="宋体" w:eastAsia="宋体" w:cs="宋体"/>
                <w:b/>
                <w:kern w:val="0"/>
                <w:sz w:val="18"/>
                <w:szCs w:val="18"/>
                <w:lang w:val="en-US" w:eastAsia="zh-CN" w:bidi="ar"/>
              </w:rPr>
              <w:t>典型诱发因素</w:t>
            </w:r>
          </w:p>
        </w:tc>
      </w:tr>
      <w:tr w14:paraId="5484D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142EDD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硫磺铁路卸车</w:t>
            </w:r>
          </w:p>
        </w:tc>
        <w:tc>
          <w:tcPr>
            <w:tcW w:w="1961"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3B7B84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起重机、倾翻平台、卸料仓</w:t>
            </w:r>
          </w:p>
        </w:tc>
        <w:tc>
          <w:tcPr>
            <w:tcW w:w="2522"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53285C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车辆溜车、粉尘超标、铁器混入</w:t>
            </w:r>
          </w:p>
        </w:tc>
        <w:tc>
          <w:tcPr>
            <w:tcW w:w="3048" w:type="dxa"/>
            <w:tcBorders>
              <w:top w:val="single" w:color="auto" w:sz="8"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6D2AC8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未设防溜装置、通风不良、除铁器失效、违章作业</w:t>
            </w:r>
          </w:p>
        </w:tc>
      </w:tr>
      <w:tr w14:paraId="68FF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52A87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固体硫磺输送</w:t>
            </w:r>
          </w:p>
        </w:tc>
        <w:tc>
          <w:tcPr>
            <w:tcW w:w="1961"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4BF086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皮带机、斗提机、叶轮给料机</w:t>
            </w:r>
          </w:p>
        </w:tc>
        <w:tc>
          <w:tcPr>
            <w:tcW w:w="252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6F76AA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皮带起火、静电积聚、堵料塌料、粉尘积聚</w:t>
            </w:r>
          </w:p>
        </w:tc>
        <w:tc>
          <w:tcPr>
            <w:tcW w:w="3048"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2C158D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皮带打滑摩擦、静电接地失效、联锁未投用、下料不均</w:t>
            </w:r>
          </w:p>
        </w:tc>
      </w:tr>
      <w:tr w14:paraId="1359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4B04AB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硫磺库内堆存</w:t>
            </w:r>
          </w:p>
        </w:tc>
        <w:tc>
          <w:tcPr>
            <w:tcW w:w="1961"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446BD3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硫磺库、均化布料机</w:t>
            </w:r>
          </w:p>
        </w:tc>
        <w:tc>
          <w:tcPr>
            <w:tcW w:w="252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A087F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自燃、粉尘爆炸、有毒气体积聚</w:t>
            </w:r>
          </w:p>
        </w:tc>
        <w:tc>
          <w:tcPr>
            <w:tcW w:w="3048"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389614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通风不足、温湿度超标、火源管控缺失、清扫不及时</w:t>
            </w:r>
          </w:p>
        </w:tc>
      </w:tr>
      <w:tr w14:paraId="7412E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6D755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快速熔硫工序</w:t>
            </w:r>
          </w:p>
        </w:tc>
        <w:tc>
          <w:tcPr>
            <w:tcW w:w="1961"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76ACC8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快速熔硫槽、搅拌器、蒸汽盘管</w:t>
            </w:r>
          </w:p>
        </w:tc>
        <w:tc>
          <w:tcPr>
            <w:tcW w:w="252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0F2A60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超温喷溅、盘管泄漏、酸度腐蚀</w:t>
            </w:r>
          </w:p>
        </w:tc>
        <w:tc>
          <w:tcPr>
            <w:tcW w:w="3048"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10CAD9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液位失控、蒸汽压力波动、加碱中和不足、搅拌失效</w:t>
            </w:r>
          </w:p>
        </w:tc>
      </w:tr>
      <w:tr w14:paraId="75819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3CDD0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液硫储存</w:t>
            </w:r>
          </w:p>
        </w:tc>
        <w:tc>
          <w:tcPr>
            <w:tcW w:w="1961"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56549E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液硫中间槽、精硫贮槽、地下槽</w:t>
            </w:r>
          </w:p>
        </w:tc>
        <w:tc>
          <w:tcPr>
            <w:tcW w:w="2522"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57B55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漫硫、凝固、H₂S积聚、火灾</w:t>
            </w:r>
          </w:p>
        </w:tc>
        <w:tc>
          <w:tcPr>
            <w:tcW w:w="3048" w:type="dxa"/>
            <w:tcBorders>
              <w:top w:val="single" w:color="CCCCCC" w:sz="4" w:space="0"/>
              <w:left w:val="single" w:color="CCCCCC" w:sz="4" w:space="0"/>
              <w:bottom w:val="single" w:color="CCCCCC" w:sz="4" w:space="0"/>
              <w:right w:val="single" w:color="CCCCCC" w:sz="4" w:space="0"/>
            </w:tcBorders>
            <w:shd w:val="clear" w:color="auto" w:fill="auto"/>
            <w:tcMar>
              <w:top w:w="96" w:type="dxa"/>
              <w:left w:w="96" w:type="dxa"/>
              <w:bottom w:w="96" w:type="dxa"/>
              <w:right w:w="96" w:type="dxa"/>
            </w:tcMar>
            <w:vAlign w:val="center"/>
          </w:tcPr>
          <w:p w14:paraId="4F5136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保温失效、液位联锁失灵、伴热中断、通风不良</w:t>
            </w:r>
          </w:p>
        </w:tc>
      </w:tr>
      <w:tr w14:paraId="0706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67" w:type="dxa"/>
            <w:tcBorders>
              <w:top w:val="single" w:color="CCCCCC" w:sz="4" w:space="0"/>
              <w:left w:val="single" w:color="CCCCCC" w:sz="4" w:space="0"/>
              <w:bottom w:val="single" w:color="auto" w:sz="12" w:space="0"/>
              <w:right w:val="single" w:color="CCCCCC" w:sz="4" w:space="0"/>
            </w:tcBorders>
            <w:shd w:val="clear" w:color="auto" w:fill="auto"/>
            <w:tcMar>
              <w:top w:w="96" w:type="dxa"/>
              <w:left w:w="96" w:type="dxa"/>
              <w:bottom w:w="96" w:type="dxa"/>
              <w:right w:w="96" w:type="dxa"/>
            </w:tcMar>
            <w:vAlign w:val="center"/>
          </w:tcPr>
          <w:p w14:paraId="4A394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液硫密闭输送</w:t>
            </w:r>
          </w:p>
        </w:tc>
        <w:tc>
          <w:tcPr>
            <w:tcW w:w="1961" w:type="dxa"/>
            <w:tcBorders>
              <w:top w:val="single" w:color="CCCCCC" w:sz="4" w:space="0"/>
              <w:left w:val="single" w:color="CCCCCC" w:sz="4" w:space="0"/>
              <w:bottom w:val="single" w:color="auto" w:sz="12" w:space="0"/>
              <w:right w:val="single" w:color="CCCCCC" w:sz="4" w:space="0"/>
            </w:tcBorders>
            <w:shd w:val="clear" w:color="auto" w:fill="auto"/>
            <w:tcMar>
              <w:top w:w="96" w:type="dxa"/>
              <w:left w:w="96" w:type="dxa"/>
              <w:bottom w:w="96" w:type="dxa"/>
              <w:right w:w="96" w:type="dxa"/>
            </w:tcMar>
            <w:vAlign w:val="center"/>
          </w:tcPr>
          <w:p w14:paraId="69F05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液硫泵、蒸汽夹套管道、阀门</w:t>
            </w:r>
          </w:p>
        </w:tc>
        <w:tc>
          <w:tcPr>
            <w:tcW w:w="2522" w:type="dxa"/>
            <w:tcBorders>
              <w:top w:val="single" w:color="CCCCCC" w:sz="4" w:space="0"/>
              <w:left w:val="single" w:color="CCCCCC" w:sz="4" w:space="0"/>
              <w:bottom w:val="single" w:color="auto" w:sz="12" w:space="0"/>
              <w:right w:val="single" w:color="CCCCCC" w:sz="4" w:space="0"/>
            </w:tcBorders>
            <w:shd w:val="clear" w:color="auto" w:fill="auto"/>
            <w:tcMar>
              <w:top w:w="96" w:type="dxa"/>
              <w:left w:w="96" w:type="dxa"/>
              <w:bottom w:w="96" w:type="dxa"/>
              <w:right w:w="96" w:type="dxa"/>
            </w:tcMar>
            <w:vAlign w:val="center"/>
          </w:tcPr>
          <w:p w14:paraId="1A195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管道堵塞、泵空转、法兰泄漏</w:t>
            </w:r>
          </w:p>
        </w:tc>
        <w:tc>
          <w:tcPr>
            <w:tcW w:w="3048" w:type="dxa"/>
            <w:tcBorders>
              <w:top w:val="single" w:color="CCCCCC" w:sz="4" w:space="0"/>
              <w:left w:val="single" w:color="CCCCCC" w:sz="4" w:space="0"/>
              <w:bottom w:val="single" w:color="auto" w:sz="12" w:space="0"/>
              <w:right w:val="single" w:color="CCCCCC" w:sz="4" w:space="0"/>
            </w:tcBorders>
            <w:shd w:val="clear" w:color="auto" w:fill="auto"/>
            <w:tcMar>
              <w:top w:w="96" w:type="dxa"/>
              <w:left w:w="96" w:type="dxa"/>
              <w:bottom w:w="96" w:type="dxa"/>
              <w:right w:w="96" w:type="dxa"/>
            </w:tcMar>
            <w:vAlign w:val="center"/>
          </w:tcPr>
          <w:p w14:paraId="3CC74B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kern w:val="0"/>
                <w:sz w:val="18"/>
                <w:szCs w:val="18"/>
                <w:lang w:val="en-US" w:eastAsia="zh-CN" w:bidi="ar"/>
              </w:rPr>
              <w:t>疏水失效、温度过低、密封老化、巡检不到位</w:t>
            </w:r>
          </w:p>
        </w:tc>
      </w:tr>
      <w:bookmarkEnd w:id="0"/>
    </w:tbl>
    <w:p w14:paraId="17A61B5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事故演化与连锁效应</w:t>
      </w:r>
    </w:p>
    <w:p w14:paraId="77EFBAD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硫磺储运事故多呈现单一隐患→多因素耦合→事故扩大的演化规律：</w:t>
      </w:r>
    </w:p>
    <w:p w14:paraId="6A2BE42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粉尘积聚+点火源→粉尘爆炸；</w:t>
      </w:r>
    </w:p>
    <w:p w14:paraId="1FA8FB8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液硫超温+密封失效→火灾+有毒气体释放；</w:t>
      </w:r>
    </w:p>
    <w:p w14:paraId="39CE5E9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加热盘管泄漏+高温液硫→喷溅烫伤+酸性腐蚀扩大；</w:t>
      </w:r>
    </w:p>
    <w:p w14:paraId="3295528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停电/停汽+伴热失效→液硫凝固→管道堵塞→全线停车。</w:t>
      </w:r>
    </w:p>
    <w:p w14:paraId="0248F2B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因此，安全管理必须坚持源头预防、过程阻断、应急兜底的原则，实施全链条、全方位、全要素管控。</w:t>
      </w:r>
    </w:p>
    <w:p w14:paraId="59DB4DB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硫磺储运安全管理体系构建</w:t>
      </w:r>
    </w:p>
    <w:p w14:paraId="1497349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体系总体架构</w:t>
      </w:r>
    </w:p>
    <w:p w14:paraId="79D125D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以风险分级管控与隐患排查治理双重预防机制为核心，构建“六位一体”硫磺储运安全管理体系：</w:t>
      </w:r>
    </w:p>
    <w:p w14:paraId="2351086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1）制度标准体系：统一规程、统一标准、统一责任；</w:t>
      </w:r>
    </w:p>
    <w:p w14:paraId="405C51B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2）风险防控体系：全流程HAZOP分析、动态辨识、分级管控；</w:t>
      </w:r>
    </w:p>
    <w:p w14:paraId="1AF5160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3）工艺控制体系：关键参数自动监控、联锁保护、精准调节；</w:t>
      </w:r>
    </w:p>
    <w:p w14:paraId="092A096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4）设备保障体系：本质安全设计、预防性维护、完好运行；</w:t>
      </w:r>
    </w:p>
    <w:p w14:paraId="2CE063E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5）监测预警体系：在线监测、智能报警、分级处置；</w:t>
      </w:r>
    </w:p>
    <w:p w14:paraId="41420CC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6）应急管理体系：预案、物资、演练、处置一体化保障。</w:t>
      </w:r>
    </w:p>
    <w:p w14:paraId="34D408B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制度与责任体系</w:t>
      </w:r>
    </w:p>
    <w:p w14:paraId="3424054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建立覆盖全员、全过程、全方位的制度责任体系：</w:t>
      </w:r>
    </w:p>
    <w:p w14:paraId="4F4F1FE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1）核心管理制度：《硫磺装卸作业安全规程》《皮带输送安全管理规定》《液硫储存输送安全规程》《粉尘防爆专项管理制度》《受限空间作业许可管理规定》《动火作业安全管理规定》等；</w:t>
      </w:r>
    </w:p>
    <w:p w14:paraId="0D3D302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2）操作规程：细化卸车、输送、堆存、熔硫、液硫输送、巡检、停车、应急等全流程标准化操作步骤；</w:t>
      </w:r>
    </w:p>
    <w:p w14:paraId="4AC8A7F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3）五级安全责任体系：公司→部门→工段→班组→岗位，明确责任清单，实行安全绩效挂钩考核。</w:t>
      </w:r>
    </w:p>
    <w:p w14:paraId="519DAD9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关键环节安全控制技术与管控措施</w:t>
      </w:r>
    </w:p>
    <w:p w14:paraId="5F3F3D8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固体硫磺卸车与输送安全控制</w:t>
      </w:r>
    </w:p>
    <w:p w14:paraId="73C99BA6">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1）卸车作业：严格执行“三查三确认”制度，查车辆资质、查安全措施、查防护用品；确认通风开启、确认防溜到位、确认除铁器投用。采用不发火工具作业，严禁铁器撞击、摩擦打火。</w:t>
      </w:r>
    </w:p>
    <w:p w14:paraId="3F7D81B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2）输送系统：皮带采用难燃阻燃胶带，设置跑偏、打滑、急停、撕裂保护；叶轮给煤机与皮带机设置逆序联锁，下游设备停机上游立即停料，防止堵料。</w:t>
      </w:r>
    </w:p>
    <w:p w14:paraId="6E02705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3）粉尘与气体防控：卸料口、皮带转接点、地坑设置喷雾降尘+干雾抑尘联动系统，保持硫磺含水率＞1%；地坑设置粉尘在线监测（报警值50mg/m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rPr>
        <w:t>）与H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S在线监测（一级报警8ppm、二级报警16ppm），超标联动强制排风。</w:t>
      </w:r>
    </w:p>
    <w:p w14:paraId="055C422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硫磺库堆存本质安全控制</w:t>
      </w:r>
    </w:p>
    <w:p w14:paraId="17D47DC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1）库内设计：采用不发火地面、半敞开式结构、轻质泄压屋盖，配置轴流风机强制通风；四周设置环形消防通道、消防栓、干粉灭火器、安全喷淋与洗眼器。</w:t>
      </w:r>
    </w:p>
    <w:p w14:paraId="4A2FA6E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2）堆存管理：分区定量堆存，控制堆高与堆密度，严禁与氧化剂、酸类等混存；每日巡检库内温度、湿度、粉尘积聚、气体浓度，定期翻堆散热防止自燃。</w:t>
      </w:r>
    </w:p>
    <w:p w14:paraId="7EEE7FE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 熔硫与液硫储运高温工况安全控制</w:t>
      </w:r>
    </w:p>
    <w:p w14:paraId="1CA2DD2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1）快速熔硫：熔硫槽设置温度、液位高报高联锁，蒸汽压力稳定控制在0.6MPa，保温蒸汽0.4MPa；通过液碱高位槽自动调节加碱量，中和硫磺酸度，减缓设备腐蚀。</w:t>
      </w:r>
    </w:p>
    <w:p w14:paraId="4105608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2）液硫储存：贮槽、地下槽维持液硫温度130~150℃，顶盖温度≥120℃，防止硫蒸气冷凝堵塞；配置灭火蒸汽管线，发生火情立即通入蒸汽灭火。</w:t>
      </w:r>
    </w:p>
    <w:p w14:paraId="1A729EE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3）液硫输送：管道采用蒸汽夹套伴热，疏水器完好，定期排污排凝；设置高低液位联锁，高液位自动启泵、低液位自动停泵，防止漫硫与泵空转损坏。</w:t>
      </w:r>
    </w:p>
    <w:p w14:paraId="0F64754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 粉尘爆炸专项防控技术</w:t>
      </w:r>
    </w:p>
    <w:p w14:paraId="751B4D9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1）控尘措施：密闭输送、喷雾增湿、定时清扫、强制通风，将粉尘浓度控制在爆炸下限以下；</w:t>
      </w:r>
    </w:p>
    <w:p w14:paraId="721B637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2）消火源措施：设备静电接地跨接（接地电阻≤10Ω）、防爆电气全覆盖、除铁器持续投用、严格执行动火作业许可；</w:t>
      </w:r>
    </w:p>
    <w:p w14:paraId="2D8594E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3）抑爆措施：轻质泄压结构、管道隔爆阀、防爆泄爆片，阻止爆炸蔓延扩大。</w:t>
      </w:r>
    </w:p>
    <w:p w14:paraId="552F5B4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4.5 有毒气体防护与职业健康控制</w:t>
      </w:r>
    </w:p>
    <w:p w14:paraId="433CA71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1）密闭空间严格执行先通风、再检测、后作业；</w:t>
      </w:r>
    </w:p>
    <w:p w14:paraId="1DA77E4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S、SO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在线监测全覆盖，信号接入中控室，实现超标报警、联动排风；</w:t>
      </w:r>
    </w:p>
    <w:p w14:paraId="74CB570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3）高风险区域作业必须佩戴防毒面具，关键岗位配置空气呼吸器，建立职业健康监护档案。</w:t>
      </w:r>
    </w:p>
    <w:p w14:paraId="698111E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 设备本质安全与预防性维护保养</w:t>
      </w:r>
    </w:p>
    <w:p w14:paraId="033D606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关键设备本质安全要求</w:t>
      </w:r>
    </w:p>
    <w:p w14:paraId="2287AFE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1）输送设备：防护罩齐全、急停有效、联锁完好、防静电性能达标；</w:t>
      </w:r>
    </w:p>
    <w:p w14:paraId="2E9F5476">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2）熔硫设备：材质耐腐蚀、盘管无内漏、安全阀校验合格、报警精准；</w:t>
      </w:r>
    </w:p>
    <w:p w14:paraId="7637598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3）液硫设备：夹套伴热完好、机泵密封可靠、管道畅通、液位联锁稳定；</w:t>
      </w:r>
    </w:p>
    <w:p w14:paraId="64308F7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4）监测设备：粉尘、有毒气体、温度、液位、压力仪表定期校准，数据准确可靠。</w:t>
      </w:r>
    </w:p>
    <w:p w14:paraId="576AC5B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 设备维护保养体系</w:t>
      </w:r>
    </w:p>
    <w:p w14:paraId="405D191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1）日常巡检：固定巡检路线，重点检查温度、压力、液位、密封、接地、除尘、报警、疏水等状态，实现隐患早发现、早处置；</w:t>
      </w:r>
    </w:p>
    <w:p w14:paraId="22EEB17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2）定期维护：皮带机清扫纠偏、除铁器清铁、静电接地检测、液硫过滤器清理、盘管泄漏检查、仪表校准；</w:t>
      </w:r>
    </w:p>
    <w:p w14:paraId="3FEF4C1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3）检修作业：严格执行停电、挂牌、上锁（LOTO）制度；动火作业执行作业许可，清理粉尘、检测浓度、专人监护。</w:t>
      </w:r>
    </w:p>
    <w:p w14:paraId="55C754D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 全流程监测预警与应急管理体系</w:t>
      </w:r>
    </w:p>
    <w:p w14:paraId="2588C80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6.1 在线监测与分级预警</w:t>
      </w:r>
    </w:p>
    <w:p w14:paraId="04AE170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构建工艺参数、安全环境、视频消防三位一体监测系统：</w:t>
      </w:r>
    </w:p>
    <w:p w14:paraId="37D4F45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1）工艺监测：温度、液位、压力、蒸汽压力在线监控，超阈值报警并触发联锁；</w:t>
      </w:r>
    </w:p>
    <w:p w14:paraId="4DC271A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2）环境监测：粉尘、H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S、SO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、温湿度、静电电位实时监测，数据上传中控；</w:t>
      </w:r>
    </w:p>
    <w:p w14:paraId="424FF10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3）视频监测：工业电视全覆盖，智能识别火情、粉尘超标、违章作业；</w:t>
      </w:r>
    </w:p>
    <w:p w14:paraId="0643F47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4）预警分级：一级报警现场处置；二级报警联动停机；三级报警启动应急响应。</w:t>
      </w:r>
    </w:p>
    <w:p w14:paraId="338A24E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6.2 应急预案与标准化处置</w:t>
      </w:r>
    </w:p>
    <w:p w14:paraId="0DBFBA8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1）专项应急预案：编制《硫磺火灾爆炸应急预案》《液硫泄漏应急预案》《有毒气体中毒应急预案》《停电停汽应急预案》；</w:t>
      </w:r>
    </w:p>
    <w:p w14:paraId="6AD5F8A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2）应急物资：消防类（灭火蒸汽、干粉灭火器、消防水、沙土）、防护类（防毒面具、空气呼吸器、防烫服、洗眼器）、堵漏类（专用工具、应急泵、收集槽）；</w:t>
      </w:r>
    </w:p>
    <w:p w14:paraId="41235085">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3）核心处置原则：</w:t>
      </w:r>
    </w:p>
    <w:p w14:paraId="543BD1B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火灾事故：立即停机断电，启动灭火蒸汽/喷淋，严禁高压水直接冲击；</w:t>
      </w:r>
    </w:p>
    <w:p w14:paraId="58C28B2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液硫泄漏：切断来源、围堵收集、蒸汽熔化回收，严禁直接外排；</w:t>
      </w:r>
    </w:p>
    <w:p w14:paraId="004B125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中毒事故：迅速转移至通风处，吸氧急救，强制通风排毒，切断毒源；</w:t>
      </w:r>
    </w:p>
    <w:p w14:paraId="5CF00C1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停电停汽：紧急停机、关闭阀门、保温保压，防止液硫凝固堵管。</w:t>
      </w:r>
    </w:p>
    <w:p w14:paraId="3A2D799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4）应急演练：每月开展桌面推演，每季度开展实战演练，提升快速响应与协同处置能力。</w:t>
      </w:r>
    </w:p>
    <w:p w14:paraId="1B0CC8E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7 实施成效与持续改进机制</w:t>
      </w:r>
    </w:p>
    <w:p w14:paraId="3E194E7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7.1 安全管理实施成效</w:t>
      </w:r>
    </w:p>
    <w:p w14:paraId="380C0AA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通过一体化安全管理体系落地运行，企业硫磺储运环节实现：</w:t>
      </w:r>
    </w:p>
    <w:p w14:paraId="491B4C7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1）零事故目标：连续多年实现零火灾、零爆炸、零中毒、零重大泄漏、零人员伤害；</w:t>
      </w:r>
    </w:p>
    <w:p w14:paraId="3DC00D7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2）高合规运行：粉尘防爆、防静电、有毒气体监测、消防设施全部满足法规标准要求；</w:t>
      </w:r>
    </w:p>
    <w:p w14:paraId="3015A2F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3）设备高可靠性：故障率显著下降，液硫堵塞、盘管泄漏、酸性腐蚀等隐患大幅减少；</w:t>
      </w:r>
    </w:p>
    <w:p w14:paraId="6790866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4）人员能力提升：全员安全意识、操作技能、应急处置水平全面提升，违章作业动态清零。</w:t>
      </w:r>
    </w:p>
    <w:p w14:paraId="00A4EFD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7.2 持续改进机制</w:t>
      </w:r>
    </w:p>
    <w:p w14:paraId="6CF742A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1）隐患闭环管理：日巡检、周排查、月总结，整改责任、时限、措施“三落实”；</w:t>
      </w:r>
    </w:p>
    <w:p w14:paraId="11F04D5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2）动态风险评估：每半年开展HAZOP分析与JSA作业分析，更新风险清单与管控措施；</w:t>
      </w:r>
    </w:p>
    <w:p w14:paraId="3DD376D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3）技术迭代升级：推进自动化控制、智能化监测、无人化巡检，持续提升本质安全水平；</w:t>
      </w:r>
    </w:p>
    <w:p w14:paraId="053A3AF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4）合规性管理：跟踪法规标准更新，及时修订制度规程，定期开展安全评价与检测。</w:t>
      </w:r>
    </w:p>
    <w:p w14:paraId="7201147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8 结论</w:t>
      </w:r>
    </w:p>
    <w:p w14:paraId="7560B2F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1）硫磺储运环节存在燃烧爆炸、中毒窒息、高温烫伤、腐蚀泄漏、粉尘危害五类核心风险，具有多因素耦合、事故演化快、后果严重的特点，必须实施系统化、全流程安全管理。</w:t>
      </w:r>
    </w:p>
    <w:p w14:paraId="28118CB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2）以双重预防机制为核心，构建制度、风险、工艺、设备、监测、应急“六位一体”安全管理体系，可全面覆盖硫磺卸车、输送、堆存、熔硫、液硫储运全流程。</w:t>
      </w:r>
    </w:p>
    <w:p w14:paraId="032D58B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3）粉尘防爆、静电防控、火源管控、有毒气体监测、高低液位联锁、高温伴热与应急处置是硫磺储运安全管控的关键技术要点。</w:t>
      </w:r>
    </w:p>
    <w:p w14:paraId="146C0FF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4）坚持本质安全设计、标准化作业、预防性维护、实战化应急，可实现大型硫磺储运系统安全、稳定、绿色、高效长周期运行。</w:t>
      </w:r>
    </w:p>
    <w:p w14:paraId="260FBD2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未来应进一步推进数字化、智能化、模型化安全管控技术应用，基于大数据实现风险提前预判与智能处置，持续提升硫磺储运环节本质安全水平，为危险化学品储运安全提供更强有力的技术支撑。</w:t>
      </w:r>
    </w:p>
    <w:p w14:paraId="49322DF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p>
    <w:p w14:paraId="00C3A85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72B1AF0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[1]中华人民共和国应急管理部。工贸企业粉尘防爆安全规定[S].2021.</w:t>
      </w:r>
    </w:p>
    <w:p w14:paraId="41170FC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[2]GB15577-2018,粉尘防爆安全规程[S].</w:t>
      </w:r>
    </w:p>
    <w:p w14:paraId="30531A0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[3]GB2449-2006,工业硫磺[S].</w:t>
      </w:r>
    </w:p>
    <w:p w14:paraId="3ADFCBE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[4]王振刚，张帆。硫磺粉尘燃爆危险性研究[J].无机盐工业，2015,47(02):56-59.</w:t>
      </w:r>
    </w:p>
    <w:p w14:paraId="6F8446C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5</w:t>
      </w:r>
      <w:r>
        <w:rPr>
          <w:rFonts w:hint="eastAsia" w:ascii="宋体" w:hAnsi="宋体" w:eastAsia="宋体" w:cs="宋体"/>
          <w:sz w:val="21"/>
          <w:szCs w:val="21"/>
        </w:rPr>
        <w:t>]程艳会，王校东。散装硫磺储运中的危险分析与防控技术[J].石油化工安全环保技术，2010,26(02):15-17+21.</w:t>
      </w:r>
    </w:p>
    <w:p w14:paraId="1BE91CD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]代濠源，樊建春，刘书玥，等。湿法成型硫磺摩擦着火机理及防控措施[J].石油科学通报，2018,3(03):342-353.</w:t>
      </w:r>
    </w:p>
    <w:p w14:paraId="0E6310BB">
      <w:pPr>
        <w:rPr>
          <w:rFonts w:hint="eastAsia" w:asciiTheme="minorEastAsia" w:hAnsiTheme="minorEastAsia" w:eastAsiaTheme="minorEastAsia" w:cstheme="minorEastAsia"/>
          <w:sz w:val="24"/>
          <w:szCs w:val="24"/>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0F7FF3"/>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902440"/>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BB2D5A"/>
    <w:rsid w:val="0EC8358F"/>
    <w:rsid w:val="0F543075"/>
    <w:rsid w:val="0FEE51C5"/>
    <w:rsid w:val="0FEF171B"/>
    <w:rsid w:val="0FF00FEF"/>
    <w:rsid w:val="0FF705D0"/>
    <w:rsid w:val="100F3B6B"/>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AC347F"/>
    <w:rsid w:val="13CB5FFB"/>
    <w:rsid w:val="145D3907"/>
    <w:rsid w:val="148A7C64"/>
    <w:rsid w:val="14B4083D"/>
    <w:rsid w:val="14C173FE"/>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AE35E18"/>
    <w:rsid w:val="1B2F179A"/>
    <w:rsid w:val="1B6F3710"/>
    <w:rsid w:val="1C250273"/>
    <w:rsid w:val="1C5A43C0"/>
    <w:rsid w:val="1CBF5FD1"/>
    <w:rsid w:val="1CF2284B"/>
    <w:rsid w:val="1D01483C"/>
    <w:rsid w:val="1D5D57EA"/>
    <w:rsid w:val="1E171E3D"/>
    <w:rsid w:val="1EB55657"/>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0D24A3"/>
    <w:rsid w:val="262A3A04"/>
    <w:rsid w:val="269C7383"/>
    <w:rsid w:val="26B66697"/>
    <w:rsid w:val="273D46C2"/>
    <w:rsid w:val="27435A51"/>
    <w:rsid w:val="27466F3A"/>
    <w:rsid w:val="276F4A98"/>
    <w:rsid w:val="282B09BF"/>
    <w:rsid w:val="283B6E9A"/>
    <w:rsid w:val="28414686"/>
    <w:rsid w:val="287C746C"/>
    <w:rsid w:val="288D3427"/>
    <w:rsid w:val="28C3509B"/>
    <w:rsid w:val="28D44D60"/>
    <w:rsid w:val="29C9048F"/>
    <w:rsid w:val="29F55569"/>
    <w:rsid w:val="2A6D1762"/>
    <w:rsid w:val="2A9C2048"/>
    <w:rsid w:val="2AF37C49"/>
    <w:rsid w:val="2C1A3224"/>
    <w:rsid w:val="2C3818FC"/>
    <w:rsid w:val="2C5F332D"/>
    <w:rsid w:val="2C792640"/>
    <w:rsid w:val="2CDC497D"/>
    <w:rsid w:val="2DA03BFD"/>
    <w:rsid w:val="2DA336ED"/>
    <w:rsid w:val="2DD45655"/>
    <w:rsid w:val="2E6966E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C16E06"/>
    <w:rsid w:val="35D501BC"/>
    <w:rsid w:val="36407D2B"/>
    <w:rsid w:val="36BE3BE8"/>
    <w:rsid w:val="36DA26A7"/>
    <w:rsid w:val="36DB5CA6"/>
    <w:rsid w:val="37227431"/>
    <w:rsid w:val="3756532C"/>
    <w:rsid w:val="37B01725"/>
    <w:rsid w:val="38061044"/>
    <w:rsid w:val="381C3783"/>
    <w:rsid w:val="389E342F"/>
    <w:rsid w:val="38C5276A"/>
    <w:rsid w:val="38F45B4D"/>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221DE"/>
    <w:rsid w:val="3D0715A3"/>
    <w:rsid w:val="3DA212CB"/>
    <w:rsid w:val="3DBB238D"/>
    <w:rsid w:val="3DBD6105"/>
    <w:rsid w:val="3E1F0B6E"/>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4653BD"/>
    <w:rsid w:val="47925F0D"/>
    <w:rsid w:val="47970565"/>
    <w:rsid w:val="47A143DA"/>
    <w:rsid w:val="47E81E53"/>
    <w:rsid w:val="47F6649C"/>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6A4C30"/>
    <w:rsid w:val="507C775A"/>
    <w:rsid w:val="50A20D13"/>
    <w:rsid w:val="50AD3DB7"/>
    <w:rsid w:val="50AF7B2F"/>
    <w:rsid w:val="50B02F71"/>
    <w:rsid w:val="50C26CF2"/>
    <w:rsid w:val="50EC0D83"/>
    <w:rsid w:val="50FE0CB7"/>
    <w:rsid w:val="512D188F"/>
    <w:rsid w:val="51363DAD"/>
    <w:rsid w:val="51390B8A"/>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9A541C5"/>
    <w:rsid w:val="59C57341"/>
    <w:rsid w:val="5A2A0227"/>
    <w:rsid w:val="5A7B0A82"/>
    <w:rsid w:val="5B0311A3"/>
    <w:rsid w:val="5BB5218E"/>
    <w:rsid w:val="5BFE5E0F"/>
    <w:rsid w:val="5CA42512"/>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2EC076F"/>
    <w:rsid w:val="635A7DCF"/>
    <w:rsid w:val="637D586B"/>
    <w:rsid w:val="63872EA4"/>
    <w:rsid w:val="63F26259"/>
    <w:rsid w:val="64061D04"/>
    <w:rsid w:val="640A365A"/>
    <w:rsid w:val="640E2967"/>
    <w:rsid w:val="64754794"/>
    <w:rsid w:val="64F47DAF"/>
    <w:rsid w:val="64FD7B2B"/>
    <w:rsid w:val="657B402C"/>
    <w:rsid w:val="65C07C91"/>
    <w:rsid w:val="66CA526B"/>
    <w:rsid w:val="67C12792"/>
    <w:rsid w:val="67DD0FCE"/>
    <w:rsid w:val="687436E1"/>
    <w:rsid w:val="687A681D"/>
    <w:rsid w:val="68D73C6F"/>
    <w:rsid w:val="690B56C7"/>
    <w:rsid w:val="696A4D66"/>
    <w:rsid w:val="69867965"/>
    <w:rsid w:val="698A6F34"/>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43924"/>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7D43BF"/>
    <w:rsid w:val="79EB30D7"/>
    <w:rsid w:val="7A293F0A"/>
    <w:rsid w:val="7A5E24AA"/>
    <w:rsid w:val="7ACB4CB6"/>
    <w:rsid w:val="7B02692A"/>
    <w:rsid w:val="7B486307"/>
    <w:rsid w:val="7B560A24"/>
    <w:rsid w:val="7B5B603A"/>
    <w:rsid w:val="7B5C744A"/>
    <w:rsid w:val="7BA55C3B"/>
    <w:rsid w:val="7BD858DD"/>
    <w:rsid w:val="7BE9361F"/>
    <w:rsid w:val="7C572649"/>
    <w:rsid w:val="7C6B49A3"/>
    <w:rsid w:val="7C765821"/>
    <w:rsid w:val="7C856E44"/>
    <w:rsid w:val="7CD24A22"/>
    <w:rsid w:val="7D366D5F"/>
    <w:rsid w:val="7DD722F0"/>
    <w:rsid w:val="7E074257"/>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0</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2026-05-25T08:31:42Z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