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448B9FB2">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高强度/低含水硫精砂颗粒制备工艺研究</w:t>
      </w:r>
    </w:p>
    <w:p w14:paraId="2F4A6E9B">
      <w:pPr>
        <w:ind w:firstLine="0" w:firstLineChars="0"/>
        <w:jc w:val="center"/>
      </w:pPr>
    </w:p>
    <w:p w14:paraId="719E5F65">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翟学一</w:t>
      </w:r>
      <w:r>
        <w:rPr>
          <w:rFonts w:hint="eastAsia" w:ascii="楷体" w:hAnsi="楷体" w:eastAsia="楷体" w:cs="楷体"/>
          <w:color w:val="auto"/>
          <w:sz w:val="21"/>
          <w:szCs w:val="21"/>
          <w:vertAlign w:val="superscript"/>
          <w:lang w:val="en-US" w:eastAsia="zh-CN"/>
        </w:rPr>
        <w:t>1</w:t>
      </w:r>
      <w:r>
        <w:rPr>
          <w:rFonts w:hint="eastAsia" w:ascii="楷体" w:hAnsi="楷体" w:eastAsia="楷体" w:cs="楷体"/>
          <w:color w:val="auto"/>
          <w:sz w:val="21"/>
          <w:szCs w:val="21"/>
          <w:lang w:val="en-US" w:eastAsia="zh-CN"/>
        </w:rPr>
        <w:t xml:space="preserve"> 季晓杰</w:t>
      </w:r>
      <w:r>
        <w:rPr>
          <w:rFonts w:hint="eastAsia" w:ascii="楷体" w:hAnsi="楷体" w:eastAsia="楷体" w:cs="楷体"/>
          <w:color w:val="auto"/>
          <w:sz w:val="21"/>
          <w:szCs w:val="21"/>
          <w:vertAlign w:val="superscript"/>
          <w:lang w:val="en-US" w:eastAsia="zh-CN"/>
        </w:rPr>
        <w:t>1</w:t>
      </w:r>
      <w:r>
        <w:rPr>
          <w:rFonts w:hint="eastAsia" w:ascii="楷体" w:hAnsi="楷体" w:eastAsia="楷体" w:cs="楷体"/>
          <w:color w:val="auto"/>
          <w:sz w:val="21"/>
          <w:szCs w:val="21"/>
          <w:lang w:val="en-US" w:eastAsia="zh-CN"/>
        </w:rPr>
        <w:t xml:space="preserve"> 刘咏</w:t>
      </w:r>
      <w:r>
        <w:rPr>
          <w:rFonts w:hint="eastAsia" w:ascii="楷体" w:hAnsi="楷体" w:eastAsia="楷体" w:cs="楷体"/>
          <w:color w:val="auto"/>
          <w:sz w:val="21"/>
          <w:szCs w:val="21"/>
          <w:vertAlign w:val="superscript"/>
          <w:lang w:val="en-US" w:eastAsia="zh-CN"/>
        </w:rPr>
        <w:t>1</w:t>
      </w:r>
      <w:r>
        <w:rPr>
          <w:rFonts w:hint="eastAsia" w:ascii="楷体" w:hAnsi="楷体" w:eastAsia="楷体" w:cs="楷体"/>
          <w:color w:val="auto"/>
          <w:sz w:val="21"/>
          <w:szCs w:val="21"/>
          <w:lang w:val="en-US" w:eastAsia="zh-CN"/>
        </w:rPr>
        <w:t xml:space="preserve"> 陈相</w:t>
      </w:r>
      <w:r>
        <w:rPr>
          <w:rFonts w:hint="eastAsia" w:ascii="楷体" w:hAnsi="楷体" w:eastAsia="楷体" w:cs="楷体"/>
          <w:color w:val="auto"/>
          <w:sz w:val="21"/>
          <w:szCs w:val="21"/>
          <w:vertAlign w:val="superscript"/>
          <w:lang w:val="en-US" w:eastAsia="zh-CN"/>
        </w:rPr>
        <w:t>2</w:t>
      </w:r>
      <w:r>
        <w:rPr>
          <w:rFonts w:hint="eastAsia" w:ascii="楷体" w:hAnsi="楷体" w:eastAsia="楷体" w:cs="楷体"/>
          <w:color w:val="auto"/>
          <w:sz w:val="21"/>
          <w:szCs w:val="21"/>
          <w:lang w:val="en-US" w:eastAsia="zh-CN"/>
        </w:rPr>
        <w:t xml:space="preserve"> 曾伟</w:t>
      </w:r>
      <w:r>
        <w:rPr>
          <w:rFonts w:hint="eastAsia" w:ascii="楷体" w:hAnsi="楷体" w:eastAsia="楷体" w:cs="楷体"/>
          <w:color w:val="auto"/>
          <w:sz w:val="21"/>
          <w:szCs w:val="21"/>
          <w:vertAlign w:val="superscript"/>
          <w:lang w:val="en-US" w:eastAsia="zh-CN"/>
        </w:rPr>
        <w:t>2</w:t>
      </w:r>
      <w:r>
        <w:rPr>
          <w:rFonts w:hint="eastAsia" w:ascii="楷体" w:hAnsi="楷体" w:eastAsia="楷体" w:cs="楷体"/>
          <w:color w:val="auto"/>
          <w:sz w:val="21"/>
          <w:szCs w:val="21"/>
          <w:lang w:val="en-US" w:eastAsia="zh-CN"/>
        </w:rPr>
        <w:t xml:space="preserve"> 汤建伟</w:t>
      </w:r>
      <w:r>
        <w:rPr>
          <w:rFonts w:hint="eastAsia" w:ascii="楷体" w:hAnsi="楷体" w:eastAsia="楷体" w:cs="楷体"/>
          <w:color w:val="auto"/>
          <w:sz w:val="21"/>
          <w:szCs w:val="21"/>
          <w:vertAlign w:val="superscript"/>
          <w:lang w:val="en-US" w:eastAsia="zh-CN"/>
        </w:rPr>
        <w:t>3</w:t>
      </w:r>
      <w:r>
        <w:rPr>
          <w:rFonts w:hint="eastAsia" w:ascii="楷体" w:hAnsi="楷体" w:eastAsia="楷体" w:cs="楷体"/>
          <w:color w:val="auto"/>
          <w:sz w:val="21"/>
          <w:szCs w:val="21"/>
          <w:lang w:val="en-US" w:eastAsia="zh-CN"/>
        </w:rPr>
        <w:t xml:space="preserve"> 王保明</w:t>
      </w:r>
      <w:r>
        <w:rPr>
          <w:rFonts w:hint="eastAsia" w:ascii="楷体" w:hAnsi="楷体" w:eastAsia="楷体" w:cs="楷体"/>
          <w:color w:val="auto"/>
          <w:sz w:val="21"/>
          <w:szCs w:val="21"/>
          <w:vertAlign w:val="superscript"/>
          <w:lang w:val="en-US" w:eastAsia="zh-CN"/>
        </w:rPr>
        <w:t>3</w:t>
      </w:r>
      <w:r>
        <w:rPr>
          <w:rFonts w:hint="eastAsia" w:ascii="楷体" w:hAnsi="楷体" w:eastAsia="楷体" w:cs="楷体"/>
          <w:color w:val="auto"/>
          <w:sz w:val="21"/>
          <w:szCs w:val="21"/>
          <w:lang w:val="en-US" w:eastAsia="zh-CN"/>
        </w:rPr>
        <w:t xml:space="preserve"> 刘鹏飞</w:t>
      </w:r>
      <w:r>
        <w:rPr>
          <w:rFonts w:hint="eastAsia" w:ascii="楷体" w:hAnsi="楷体" w:eastAsia="楷体" w:cs="楷体"/>
          <w:color w:val="auto"/>
          <w:sz w:val="21"/>
          <w:szCs w:val="21"/>
          <w:vertAlign w:val="superscript"/>
          <w:lang w:val="en-US" w:eastAsia="zh-CN"/>
        </w:rPr>
        <w:t>3</w:t>
      </w:r>
    </w:p>
    <w:p w14:paraId="1D1F2364">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vertAlign w:val="superscript"/>
          <w:lang w:val="en-US" w:eastAsia="zh-CN"/>
        </w:rPr>
        <w:t>1</w:t>
      </w:r>
      <w:r>
        <w:rPr>
          <w:rFonts w:hint="eastAsia" w:ascii="楷体" w:hAnsi="楷体" w:eastAsia="楷体" w:cs="楷体"/>
          <w:color w:val="auto"/>
          <w:sz w:val="21"/>
          <w:szCs w:val="21"/>
          <w:lang w:val="en-US" w:eastAsia="zh-CN"/>
        </w:rPr>
        <w:t xml:space="preserve">郑州大学化工学院 </w:t>
      </w:r>
      <w:r>
        <w:rPr>
          <w:rFonts w:hint="eastAsia" w:ascii="楷体" w:hAnsi="楷体" w:eastAsia="楷体" w:cs="楷体"/>
          <w:color w:val="auto"/>
          <w:sz w:val="21"/>
          <w:szCs w:val="21"/>
          <w:vertAlign w:val="superscript"/>
          <w:lang w:val="en-US" w:eastAsia="zh-CN"/>
        </w:rPr>
        <w:t>2</w:t>
      </w:r>
      <w:r>
        <w:rPr>
          <w:rFonts w:hint="eastAsia" w:ascii="楷体" w:hAnsi="楷体" w:eastAsia="楷体" w:cs="楷体"/>
          <w:color w:val="auto"/>
          <w:sz w:val="21"/>
          <w:szCs w:val="21"/>
          <w:lang w:val="en-US" w:eastAsia="zh-CN"/>
        </w:rPr>
        <w:t xml:space="preserve">瓮福（集团）有限责任公司 </w:t>
      </w:r>
      <w:r>
        <w:rPr>
          <w:rFonts w:hint="eastAsia" w:ascii="楷体" w:hAnsi="楷体" w:eastAsia="楷体" w:cs="楷体"/>
          <w:color w:val="auto"/>
          <w:sz w:val="21"/>
          <w:szCs w:val="21"/>
          <w:vertAlign w:val="superscript"/>
          <w:lang w:val="en-US" w:eastAsia="zh-CN"/>
        </w:rPr>
        <w:t>3</w:t>
      </w:r>
      <w:r>
        <w:rPr>
          <w:rFonts w:hint="eastAsia" w:ascii="楷体" w:hAnsi="楷体" w:eastAsia="楷体" w:cs="楷体"/>
          <w:color w:val="auto"/>
          <w:sz w:val="21"/>
          <w:szCs w:val="21"/>
          <w:lang w:val="en-US" w:eastAsia="zh-CN"/>
        </w:rPr>
        <w:t>郑州大学生态与环境学院</w:t>
      </w:r>
    </w:p>
    <w:p w14:paraId="6FF9B38A">
      <w:pPr>
        <w:pageBreakBefore w:val="0"/>
        <w:kinsoku/>
        <w:wordWrap/>
        <w:overflowPunct/>
        <w:topLinePunct w:val="0"/>
        <w:autoSpaceDE/>
        <w:autoSpaceDN/>
        <w:bidi w:val="0"/>
        <w:spacing w:line="400" w:lineRule="exact"/>
        <w:ind w:firstLine="0" w:firstLineChars="0"/>
        <w:textAlignment w:val="auto"/>
        <w:rPr>
          <w:rFonts w:hint="eastAsia"/>
          <w:b/>
          <w:bCs/>
          <w:sz w:val="18"/>
          <w:szCs w:val="18"/>
        </w:rPr>
      </w:pPr>
    </w:p>
    <w:p w14:paraId="047E48A2">
      <w:pPr>
        <w:pageBreakBefore w:val="0"/>
        <w:kinsoku/>
        <w:wordWrap/>
        <w:overflowPunct/>
        <w:topLinePunct w:val="0"/>
        <w:autoSpaceDE/>
        <w:autoSpaceDN/>
        <w:bidi w:val="0"/>
        <w:spacing w:line="400" w:lineRule="exact"/>
        <w:ind w:firstLine="422" w:firstLineChars="200"/>
        <w:textAlignment w:val="auto"/>
        <w:rPr>
          <w:rFonts w:hint="eastAsia" w:ascii="宋体" w:hAnsi="宋体" w:eastAsia="宋体" w:cs="宋体"/>
          <w:bCs/>
          <w:sz w:val="21"/>
          <w:szCs w:val="21"/>
        </w:rPr>
      </w:pPr>
      <w:r>
        <w:rPr>
          <w:rFonts w:hint="eastAsia" w:ascii="宋体" w:hAnsi="宋体" w:eastAsia="宋体" w:cs="宋体"/>
          <w:b/>
          <w:bCs/>
          <w:sz w:val="21"/>
          <w:szCs w:val="21"/>
        </w:rPr>
        <w:t>摘要：</w:t>
      </w:r>
      <w:r>
        <w:rPr>
          <w:rFonts w:hint="eastAsia" w:ascii="宋体" w:hAnsi="宋体" w:eastAsia="宋体" w:cs="宋体"/>
          <w:sz w:val="21"/>
          <w:szCs w:val="21"/>
        </w:rPr>
        <w:t>硫精砂是有色冶金工业中精选硫化物矿石时得到的副产品，主要成分为FeS</w:t>
      </w:r>
      <w:r>
        <w:rPr>
          <w:rFonts w:hint="eastAsia" w:ascii="宋体" w:hAnsi="宋体" w:eastAsia="宋体" w:cs="宋体"/>
          <w:sz w:val="21"/>
          <w:szCs w:val="21"/>
          <w:vertAlign w:val="subscript"/>
        </w:rPr>
        <w:t>2</w:t>
      </w:r>
      <w:r>
        <w:rPr>
          <w:rFonts w:hint="eastAsia" w:ascii="宋体" w:hAnsi="宋体" w:eastAsia="宋体" w:cs="宋体"/>
          <w:sz w:val="21"/>
          <w:szCs w:val="21"/>
        </w:rPr>
        <w:t>，含硫量约为30 ~ 45%，煅烧性能好，可代替黄铁矿作为生产硫酸或亚硫酸的原料。但硫精砂粒度小，含水量大，细粉硫精砂直接煅烧影响料层的透气性，恶化烧结进程，直接利用硫精砂往往带有局限性。本文采用造粒技术，通过将硫精砂粉体制备成球团颗粒来解决粉状硫精砂物化性能问题，以圆盘造粒的方法探究粘结剂组合、粉体细度和干燥时间对颗粒强度、含水量和成粒率的影响，并通过XRD、SEM、FI-IR分析颗粒结构特征，探寻最佳造粒工艺条件。最优工艺条件下所制备的颗粒平均抗压强度为39.47 N，平均含水量为5.56%，产品成粒率为85.57%，S和Fe含量分别为59.14%和32.96%，具备高强度和低含水的要求，符合硫精矿行业标准中优等品Ι要求。</w:t>
      </w:r>
    </w:p>
    <w:p w14:paraId="0C7C0B72">
      <w:pPr>
        <w:pageBreakBefore w:val="0"/>
        <w:kinsoku/>
        <w:wordWrap/>
        <w:overflowPunct/>
        <w:topLinePunct w:val="0"/>
        <w:autoSpaceDE/>
        <w:autoSpaceDN/>
        <w:bidi w:val="0"/>
        <w:spacing w:line="400" w:lineRule="exact"/>
        <w:ind w:firstLine="422" w:firstLineChars="200"/>
        <w:textAlignment w:val="auto"/>
        <w:rPr>
          <w:rFonts w:hint="eastAsia" w:ascii="宋体" w:hAnsi="宋体" w:eastAsia="宋体" w:cs="宋体"/>
          <w:bCs/>
          <w:sz w:val="21"/>
          <w:szCs w:val="21"/>
        </w:rPr>
      </w:pPr>
      <w:r>
        <w:rPr>
          <w:rFonts w:hint="eastAsia" w:ascii="宋体" w:hAnsi="宋体" w:eastAsia="宋体" w:cs="宋体"/>
          <w:b/>
          <w:sz w:val="21"/>
          <w:szCs w:val="21"/>
        </w:rPr>
        <w:t>关键词：</w:t>
      </w:r>
      <w:r>
        <w:rPr>
          <w:rFonts w:hint="eastAsia" w:ascii="宋体" w:hAnsi="宋体" w:eastAsia="宋体" w:cs="宋体"/>
          <w:bCs/>
          <w:sz w:val="21"/>
          <w:szCs w:val="21"/>
        </w:rPr>
        <w:t>硫精砂</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rPr>
        <w:t>造粒</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rPr>
        <w:t>粘结剂</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rPr>
        <w:t>颗粒强度</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rPr>
        <w:t>含水量</w:t>
      </w:r>
    </w:p>
    <w:p w14:paraId="62C89D04">
      <w:pPr>
        <w:pageBreakBefore w:val="0"/>
        <w:kinsoku/>
        <w:wordWrap/>
        <w:overflowPunct/>
        <w:topLinePunct w:val="0"/>
        <w:autoSpaceDE/>
        <w:autoSpaceDN/>
        <w:bidi w:val="0"/>
        <w:spacing w:line="400" w:lineRule="exact"/>
        <w:ind w:firstLine="0" w:firstLineChars="0"/>
        <w:textAlignment w:val="auto"/>
        <w:rPr>
          <w:rFonts w:hint="eastAsia" w:ascii="宋体" w:hAnsi="宋体" w:eastAsia="宋体" w:cs="宋体"/>
          <w:bCs/>
          <w:sz w:val="21"/>
          <w:szCs w:val="21"/>
        </w:rPr>
      </w:pPr>
    </w:p>
    <w:p w14:paraId="0611550A">
      <w:pPr>
        <w:pageBreakBefore w:val="0"/>
        <w:kinsoku/>
        <w:wordWrap/>
        <w:overflowPunct/>
        <w:topLinePunct w:val="0"/>
        <w:autoSpaceDE/>
        <w:autoSpaceDN/>
        <w:bidi w:val="0"/>
        <w:spacing w:line="400" w:lineRule="exact"/>
        <w:ind w:firstLine="420"/>
        <w:textAlignment w:val="auto"/>
        <w:rPr>
          <w:rFonts w:hint="eastAsia" w:ascii="宋体" w:hAnsi="宋体" w:eastAsia="宋体" w:cs="宋体"/>
          <w:sz w:val="21"/>
          <w:szCs w:val="21"/>
        </w:rPr>
      </w:pPr>
      <w:r>
        <w:rPr>
          <w:rFonts w:hint="eastAsia" w:ascii="宋体" w:hAnsi="宋体" w:eastAsia="宋体" w:cs="宋体"/>
          <w:sz w:val="21"/>
          <w:szCs w:val="21"/>
        </w:rPr>
        <w:t>我国硫铁矿资源储量丰富，全国探明硫铁矿资源矿石储量约为60.37亿吨，居世界首位</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ADDIN NE.Ref.{A161CFEB-5F34-42DF-A99E-0EE84FEF1715}</w:instrText>
      </w:r>
      <w:r>
        <w:rPr>
          <w:rFonts w:hint="eastAsia" w:ascii="宋体" w:hAnsi="宋体" w:eastAsia="宋体" w:cs="宋体"/>
          <w:sz w:val="21"/>
          <w:szCs w:val="21"/>
        </w:rPr>
        <w:fldChar w:fldCharType="separate"/>
      </w:r>
      <w:r>
        <w:rPr>
          <w:rFonts w:hint="eastAsia" w:ascii="宋体" w:hAnsi="宋体" w:eastAsia="宋体" w:cs="宋体"/>
          <w:color w:val="080000"/>
          <w:kern w:val="0"/>
          <w:sz w:val="21"/>
          <w:szCs w:val="21"/>
          <w:vertAlign w:val="superscript"/>
        </w:rPr>
        <w:t>[1]</w:t>
      </w:r>
      <w:r>
        <w:rPr>
          <w:rFonts w:hint="eastAsia" w:ascii="宋体" w:hAnsi="宋体" w:eastAsia="宋体" w:cs="宋体"/>
          <w:sz w:val="21"/>
          <w:szCs w:val="21"/>
        </w:rPr>
        <w:fldChar w:fldCharType="end"/>
      </w:r>
      <w:r>
        <w:rPr>
          <w:rFonts w:hint="eastAsia" w:ascii="宋体" w:hAnsi="宋体" w:eastAsia="宋体" w:cs="宋体"/>
          <w:sz w:val="21"/>
          <w:szCs w:val="21"/>
        </w:rPr>
        <w:t>。我国西南、中南和华东地区</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ADDIN NE.Ref.{179717A6-09F4-4CB5-BE60-BC007EBBD64A}</w:instrText>
      </w:r>
      <w:r>
        <w:rPr>
          <w:rFonts w:hint="eastAsia" w:ascii="宋体" w:hAnsi="宋体" w:eastAsia="宋体" w:cs="宋体"/>
          <w:sz w:val="21"/>
          <w:szCs w:val="21"/>
        </w:rPr>
        <w:fldChar w:fldCharType="separate"/>
      </w:r>
      <w:r>
        <w:rPr>
          <w:rFonts w:hint="eastAsia" w:ascii="宋体" w:hAnsi="宋体" w:eastAsia="宋体" w:cs="宋体"/>
          <w:color w:val="080000"/>
          <w:kern w:val="0"/>
          <w:sz w:val="21"/>
          <w:szCs w:val="21"/>
          <w:vertAlign w:val="superscript"/>
        </w:rPr>
        <w:t>[2-3]</w:t>
      </w:r>
      <w:r>
        <w:rPr>
          <w:rFonts w:hint="eastAsia" w:ascii="宋体" w:hAnsi="宋体" w:eastAsia="宋体" w:cs="宋体"/>
          <w:sz w:val="21"/>
          <w:szCs w:val="21"/>
        </w:rPr>
        <w:fldChar w:fldCharType="end"/>
      </w:r>
      <w:r>
        <w:rPr>
          <w:rFonts w:hint="eastAsia" w:ascii="宋体" w:hAnsi="宋体" w:eastAsia="宋体" w:cs="宋体"/>
          <w:sz w:val="21"/>
          <w:szCs w:val="21"/>
        </w:rPr>
        <w:t>，分布了以煤系硫铁矿为主的硫铁矿资源。硫铁矿的开采给当地带来一定的经济效益</w:t>
      </w:r>
      <w:r>
        <w:rPr>
          <w:rFonts w:hint="eastAsia" w:ascii="宋体" w:hAnsi="宋体" w:eastAsia="宋体" w:cs="宋体"/>
          <w:sz w:val="21"/>
          <w:szCs w:val="21"/>
          <w:vertAlign w:val="superscript"/>
        </w:rPr>
        <w:t>[4]</w:t>
      </w:r>
      <w:r>
        <w:rPr>
          <w:rFonts w:hint="eastAsia" w:ascii="宋体" w:hAnsi="宋体" w:eastAsia="宋体" w:cs="宋体"/>
          <w:sz w:val="21"/>
          <w:szCs w:val="21"/>
        </w:rPr>
        <w:t>，但尾矿难以利用，占用大量耕地，堆积量已超过1000万吨</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ADDIN NE.Ref.{DAF3C02A-5981-40EB-9EE0-32B9351DC684}</w:instrText>
      </w:r>
      <w:r>
        <w:rPr>
          <w:rFonts w:hint="eastAsia" w:ascii="宋体" w:hAnsi="宋体" w:eastAsia="宋体" w:cs="宋体"/>
          <w:sz w:val="21"/>
          <w:szCs w:val="21"/>
        </w:rPr>
        <w:fldChar w:fldCharType="separate"/>
      </w:r>
      <w:r>
        <w:rPr>
          <w:rFonts w:hint="eastAsia" w:ascii="宋体" w:hAnsi="宋体" w:eastAsia="宋体" w:cs="宋体"/>
          <w:color w:val="080000"/>
          <w:kern w:val="0"/>
          <w:sz w:val="21"/>
          <w:szCs w:val="21"/>
          <w:vertAlign w:val="superscript"/>
        </w:rPr>
        <w:t>[5-8]</w:t>
      </w:r>
      <w:r>
        <w:rPr>
          <w:rFonts w:hint="eastAsia" w:ascii="宋体" w:hAnsi="宋体" w:eastAsia="宋体" w:cs="宋体"/>
          <w:sz w:val="21"/>
          <w:szCs w:val="21"/>
        </w:rPr>
        <w:fldChar w:fldCharType="end"/>
      </w:r>
      <w:r>
        <w:rPr>
          <w:rFonts w:hint="eastAsia" w:ascii="宋体" w:hAnsi="宋体" w:eastAsia="宋体" w:cs="宋体"/>
          <w:sz w:val="21"/>
          <w:szCs w:val="21"/>
        </w:rPr>
        <w:t>，其中的S、Pb、Zn等元素严重威胁矿区周边的自然环境</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ADDIN NE.Ref.{4CC61B78-BB75-4F5B-A7D3-F4A92AC62BE2}</w:instrText>
      </w:r>
      <w:r>
        <w:rPr>
          <w:rFonts w:hint="eastAsia" w:ascii="宋体" w:hAnsi="宋体" w:eastAsia="宋体" w:cs="宋体"/>
          <w:sz w:val="21"/>
          <w:szCs w:val="21"/>
        </w:rPr>
        <w:fldChar w:fldCharType="separate"/>
      </w:r>
      <w:r>
        <w:rPr>
          <w:rFonts w:hint="eastAsia" w:ascii="宋体" w:hAnsi="宋体" w:eastAsia="宋体" w:cs="宋体"/>
          <w:color w:val="080000"/>
          <w:kern w:val="0"/>
          <w:sz w:val="21"/>
          <w:szCs w:val="21"/>
          <w:vertAlign w:val="superscript"/>
        </w:rPr>
        <w:t>[9]</w:t>
      </w:r>
      <w:r>
        <w:rPr>
          <w:rFonts w:hint="eastAsia" w:ascii="宋体" w:hAnsi="宋体" w:eastAsia="宋体" w:cs="宋体"/>
          <w:sz w:val="21"/>
          <w:szCs w:val="21"/>
        </w:rPr>
        <w:fldChar w:fldCharType="end"/>
      </w:r>
      <w:r>
        <w:rPr>
          <w:rFonts w:hint="eastAsia" w:ascii="宋体" w:hAnsi="宋体" w:eastAsia="宋体" w:cs="宋体"/>
          <w:sz w:val="21"/>
          <w:szCs w:val="21"/>
        </w:rPr>
        <w:t>。因此，硫铁矿尾矿的资源化利用，对矿区生态和经济可持续发展有着重要意义。</w:t>
      </w:r>
    </w:p>
    <w:p w14:paraId="0A932E53">
      <w:pPr>
        <w:pageBreakBefore w:val="0"/>
        <w:kinsoku/>
        <w:wordWrap/>
        <w:overflowPunct/>
        <w:topLinePunct w:val="0"/>
        <w:autoSpaceDE/>
        <w:autoSpaceDN/>
        <w:bidi w:val="0"/>
        <w:spacing w:line="400" w:lineRule="exact"/>
        <w:ind w:firstLine="420"/>
        <w:textAlignment w:val="auto"/>
        <w:rPr>
          <w:rFonts w:hint="eastAsia" w:ascii="宋体" w:hAnsi="宋体" w:eastAsia="宋体" w:cs="宋体"/>
          <w:sz w:val="21"/>
          <w:szCs w:val="21"/>
        </w:rPr>
      </w:pPr>
      <w:r>
        <w:rPr>
          <w:rFonts w:hint="eastAsia" w:ascii="宋体" w:hAnsi="宋体" w:eastAsia="宋体" w:cs="宋体"/>
          <w:sz w:val="21"/>
          <w:szCs w:val="21"/>
        </w:rPr>
        <w:t>硫精砂具有较强的持水能力，这种特性非常不利于干燥、运输及使用</w:t>
      </w:r>
      <w:r>
        <w:rPr>
          <w:rFonts w:hint="eastAsia" w:ascii="宋体" w:hAnsi="宋体" w:eastAsia="宋体" w:cs="宋体"/>
          <w:sz w:val="21"/>
          <w:szCs w:val="21"/>
          <w:vertAlign w:val="superscript"/>
        </w:rPr>
        <w:t>[10]</w:t>
      </w:r>
      <w:r>
        <w:rPr>
          <w:rFonts w:hint="eastAsia" w:ascii="宋体" w:hAnsi="宋体" w:eastAsia="宋体" w:cs="宋体"/>
          <w:sz w:val="21"/>
          <w:szCs w:val="21"/>
        </w:rPr>
        <w:t>，且在焙烧过程中，如果硫精砂含水量过高，原料粘性变大，容易发生与输送仪器的粘连，损坏设备，并且在下料口处容易发生堵塞、堆积结块现象</w:t>
      </w:r>
      <w:r>
        <w:rPr>
          <w:rFonts w:hint="eastAsia" w:ascii="宋体" w:hAnsi="宋体" w:eastAsia="宋体" w:cs="宋体"/>
          <w:sz w:val="21"/>
          <w:szCs w:val="21"/>
          <w:vertAlign w:val="superscript"/>
        </w:rPr>
        <w:t>[11]</w:t>
      </w:r>
      <w:r>
        <w:rPr>
          <w:rFonts w:hint="eastAsia" w:ascii="宋体" w:hAnsi="宋体" w:eastAsia="宋体" w:cs="宋体"/>
          <w:sz w:val="21"/>
          <w:szCs w:val="21"/>
        </w:rPr>
        <w:t>；在焙烧过程中，诸多因素影响硫精砂在沸腾炉中的充分燃烧，其中硫精砂细度及含水量影响最大，含水量过高也会引起矿料沸腾不量。焙烧的气流速度根据矿料细度调控，硫精砂粉体由于粉粒直径太小且粉体直径不均匀，直接作为焙烧原料，气流速度难以调控。气速过小，矿料沉积，不能形成沸腾层，而且会降低炉的生产强度；气速过大，炉气带出大量粉体原料，降低了脱硫率，还增大了能耗以及净制系统的负荷。为了降低水分及硫精砂细度对焙烧过程的不利影响，实验拟对硫精砂粉体进行造粒、筛分以及干燥，从而制备高强度低含水量的硫精砂颗粒产品。</w:t>
      </w:r>
    </w:p>
    <w:p w14:paraId="05914CF6">
      <w:pPr>
        <w:pageBreakBefore w:val="0"/>
        <w:kinsoku/>
        <w:wordWrap/>
        <w:overflowPunct/>
        <w:topLinePunct w:val="0"/>
        <w:autoSpaceDE/>
        <w:autoSpaceDN/>
        <w:bidi w:val="0"/>
        <w:spacing w:line="400" w:lineRule="exact"/>
        <w:ind w:firstLine="420"/>
        <w:textAlignment w:val="auto"/>
        <w:rPr>
          <w:rFonts w:hint="eastAsia" w:ascii="宋体" w:hAnsi="宋体" w:eastAsia="宋体" w:cs="宋体"/>
          <w:sz w:val="21"/>
          <w:szCs w:val="21"/>
        </w:rPr>
      </w:pPr>
      <w:r>
        <w:rPr>
          <w:rFonts w:hint="eastAsia" w:ascii="宋体" w:hAnsi="宋体" w:eastAsia="宋体" w:cs="宋体"/>
          <w:sz w:val="21"/>
          <w:szCs w:val="21"/>
        </w:rPr>
        <w:t>实验以粘结剂为研究对象，制备出硫含量高、强度高的硫精砂球团，可作为替代黄铁矿冶炼熔剂或生产硫酸、亚硫酸的优良廉价原料。</w:t>
      </w:r>
    </w:p>
    <w:p w14:paraId="4F95FD6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  材料和方法</w:t>
      </w:r>
    </w:p>
    <w:p w14:paraId="560B29E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1.1  实验材料</w:t>
      </w:r>
    </w:p>
    <w:p w14:paraId="74ED1CAA">
      <w:pPr>
        <w:pageBreakBefore w:val="0"/>
        <w:kinsoku/>
        <w:wordWrap/>
        <w:overflowPunct/>
        <w:topLinePunct w:val="0"/>
        <w:autoSpaceDE/>
        <w:autoSpaceDN/>
        <w:bidi w:val="0"/>
        <w:spacing w:line="400" w:lineRule="exact"/>
        <w:ind w:firstLine="420"/>
        <w:textAlignment w:val="auto"/>
        <w:rPr>
          <w:rFonts w:hint="eastAsia" w:ascii="宋体" w:hAnsi="宋体" w:eastAsia="宋体" w:cs="宋体"/>
          <w:sz w:val="21"/>
          <w:szCs w:val="21"/>
        </w:rPr>
      </w:pPr>
      <w:r>
        <w:rPr>
          <w:rFonts w:hint="eastAsia" w:ascii="宋体" w:hAnsi="宋体" w:eastAsia="宋体" w:cs="宋体"/>
          <w:sz w:val="21"/>
          <w:szCs w:val="21"/>
        </w:rPr>
        <w:t>实验原料为硫精砂粉体，实验所需粘结剂：去离子水，凹凸棒土、膨润土、C、D、E。</w:t>
      </w:r>
    </w:p>
    <w:p w14:paraId="2764AA2B">
      <w:pPr>
        <w:pageBreakBefore w:val="0"/>
        <w:kinsoku/>
        <w:wordWrap/>
        <w:overflowPunct/>
        <w:topLinePunct w:val="0"/>
        <w:autoSpaceDE/>
        <w:autoSpaceDN/>
        <w:bidi w:val="0"/>
        <w:spacing w:line="400" w:lineRule="exact"/>
        <w:ind w:firstLine="420"/>
        <w:textAlignment w:val="auto"/>
        <w:rPr>
          <w:rFonts w:hint="eastAsia" w:ascii="宋体" w:hAnsi="宋体" w:eastAsia="宋体" w:cs="宋体"/>
          <w:color w:val="000000"/>
          <w:sz w:val="21"/>
          <w:szCs w:val="21"/>
        </w:rPr>
      </w:pPr>
      <w:r>
        <w:rPr>
          <w:rFonts w:hint="eastAsia" w:ascii="宋体" w:hAnsi="宋体" w:eastAsia="宋体" w:cs="宋体"/>
          <w:sz w:val="21"/>
          <w:szCs w:val="21"/>
        </w:rPr>
        <w:t>实验仪器主要为</w:t>
      </w:r>
      <w:r>
        <w:rPr>
          <w:rFonts w:hint="eastAsia" w:ascii="宋体" w:hAnsi="宋体" w:eastAsia="宋体" w:cs="宋体"/>
          <w:color w:val="000000"/>
          <w:sz w:val="21"/>
          <w:szCs w:val="21"/>
        </w:rPr>
        <w:t>圆盘造粒机(自制Φ1.5 m)、电热鼓风干燥箱(101A-2E)、电子天平(YP30002)、颗粒强度测定仪(</w:t>
      </w:r>
      <w:bookmarkStart w:id="0" w:name="_Hlk106196391"/>
      <w:r>
        <w:rPr>
          <w:rFonts w:hint="eastAsia" w:ascii="宋体" w:hAnsi="宋体" w:eastAsia="宋体" w:cs="宋体"/>
          <w:color w:val="000000"/>
          <w:sz w:val="21"/>
          <w:szCs w:val="21"/>
        </w:rPr>
        <w:t>DL3</w:t>
      </w:r>
      <w:bookmarkEnd w:id="0"/>
      <w:r>
        <w:rPr>
          <w:rFonts w:hint="eastAsia" w:ascii="宋体" w:hAnsi="宋体" w:eastAsia="宋体" w:cs="宋体"/>
          <w:color w:val="000000"/>
          <w:sz w:val="21"/>
          <w:szCs w:val="21"/>
        </w:rPr>
        <w:t>)、集热式恒温加热磁力搅拌器(DF-101S)、小型多功能中药制丸机(DZ-20)、</w:t>
      </w:r>
      <w:bookmarkStart w:id="1" w:name="_Hlk106097781"/>
      <w:r>
        <w:rPr>
          <w:rFonts w:hint="eastAsia" w:ascii="宋体" w:hAnsi="宋体" w:eastAsia="宋体" w:cs="宋体"/>
          <w:color w:val="000000"/>
          <w:sz w:val="21"/>
          <w:szCs w:val="21"/>
        </w:rPr>
        <w:t>标准筛(2mm，4mm，浙江上虞市五四仪器筛具厂</w:t>
      </w:r>
      <w:bookmarkEnd w:id="1"/>
      <w:r>
        <w:rPr>
          <w:rFonts w:hint="eastAsia" w:ascii="宋体" w:hAnsi="宋体" w:eastAsia="宋体" w:cs="宋体"/>
          <w:color w:val="000000"/>
          <w:sz w:val="21"/>
          <w:szCs w:val="21"/>
        </w:rPr>
        <w:t>)。</w:t>
      </w:r>
    </w:p>
    <w:p w14:paraId="5BE0EAC4">
      <w:pPr>
        <w:pageBreakBefore w:val="0"/>
        <w:kinsoku/>
        <w:wordWrap/>
        <w:overflowPunct/>
        <w:topLinePunct w:val="0"/>
        <w:autoSpaceDE/>
        <w:autoSpaceDN/>
        <w:bidi w:val="0"/>
        <w:spacing w:line="400" w:lineRule="exact"/>
        <w:ind w:firstLine="420"/>
        <w:textAlignment w:val="auto"/>
        <w:rPr>
          <w:rFonts w:hint="eastAsia" w:ascii="宋体" w:hAnsi="宋体" w:eastAsia="宋体" w:cs="宋体"/>
          <w:sz w:val="21"/>
          <w:szCs w:val="21"/>
        </w:rPr>
      </w:pPr>
      <w:r>
        <w:rPr>
          <w:rFonts w:hint="eastAsia" w:ascii="宋体" w:hAnsi="宋体" w:eastAsia="宋体" w:cs="宋体"/>
          <w:color w:val="000000"/>
          <w:sz w:val="21"/>
          <w:szCs w:val="21"/>
        </w:rPr>
        <w:t>表征仪器：采用荷兰帕纳科生产Empyrean型X射线衍射仪对样品物相组成进行分析测试，测试条件： Cu</w:t>
      </w:r>
      <w:r>
        <w:rPr>
          <w:rFonts w:hint="eastAsia" w:ascii="宋体" w:hAnsi="宋体" w:eastAsia="宋体" w:cs="宋体"/>
          <w:color w:val="000000"/>
          <w:sz w:val="21"/>
          <w:szCs w:val="21"/>
          <w:vertAlign w:val="subscript"/>
        </w:rPr>
        <w:t>K</w:t>
      </w:r>
      <w:r>
        <w:rPr>
          <w:rFonts w:hint="eastAsia" w:ascii="宋体" w:hAnsi="宋体" w:eastAsia="宋体" w:cs="宋体"/>
          <w:color w:val="000000"/>
          <w:sz w:val="21"/>
          <w:szCs w:val="21"/>
        </w:rPr>
        <w:t>辐射（</w:t>
      </w:r>
      <w:r>
        <w:rPr>
          <w:rFonts w:hint="eastAsia" w:ascii="宋体" w:hAnsi="宋体" w:eastAsia="宋体" w:cs="宋体"/>
          <w:color w:val="000000"/>
          <w:sz w:val="21"/>
          <w:szCs w:val="21"/>
          <w:vertAlign w:val="subscript"/>
        </w:rPr>
        <w:t>K1</w:t>
      </w:r>
      <w:r>
        <w:rPr>
          <w:rFonts w:hint="eastAsia" w:ascii="宋体" w:hAnsi="宋体" w:eastAsia="宋体" w:cs="宋体"/>
          <w:color w:val="000000"/>
          <w:sz w:val="21"/>
          <w:szCs w:val="21"/>
        </w:rPr>
        <w:t>=1.540598 Å；</w:t>
      </w:r>
      <w:r>
        <w:rPr>
          <w:rFonts w:hint="eastAsia" w:ascii="宋体" w:hAnsi="宋体" w:eastAsia="宋体" w:cs="宋体"/>
          <w:color w:val="000000"/>
          <w:sz w:val="21"/>
          <w:szCs w:val="21"/>
          <w:vertAlign w:val="subscript"/>
        </w:rPr>
        <w:t>K2</w:t>
      </w:r>
      <w:r>
        <w:rPr>
          <w:rFonts w:hint="eastAsia" w:ascii="宋体" w:hAnsi="宋体" w:eastAsia="宋体" w:cs="宋体"/>
          <w:color w:val="000000"/>
          <w:sz w:val="21"/>
          <w:szCs w:val="21"/>
        </w:rPr>
        <w:t>=1.544426 Å；</w:t>
      </w:r>
      <w:r>
        <w:rPr>
          <w:rFonts w:hint="eastAsia" w:ascii="宋体" w:hAnsi="宋体" w:eastAsia="宋体" w:cs="宋体"/>
          <w:color w:val="000000"/>
          <w:sz w:val="21"/>
          <w:szCs w:val="21"/>
          <w:vertAlign w:val="subscript"/>
        </w:rPr>
        <w:t xml:space="preserve"> </w:t>
      </w:r>
      <w:r>
        <w:rPr>
          <w:rFonts w:hint="eastAsia" w:ascii="宋体" w:hAnsi="宋体" w:eastAsia="宋体" w:cs="宋体"/>
          <w:color w:val="000000"/>
          <w:sz w:val="21"/>
          <w:szCs w:val="21"/>
        </w:rPr>
        <w:t>K2/K1 = 0.5），使用连续扫描模式测试，扫描范围为：5～80。采用傅立叶变换红外光谱仪（FT-IR，Nicolet is50，Thermo）进行样品官能团结构分析，测试范围400～4000 cm</w:t>
      </w:r>
      <w:r>
        <w:rPr>
          <w:rFonts w:hint="eastAsia" w:ascii="宋体" w:hAnsi="宋体" w:eastAsia="宋体" w:cs="宋体"/>
          <w:color w:val="000000"/>
          <w:sz w:val="21"/>
          <w:szCs w:val="21"/>
          <w:vertAlign w:val="superscript"/>
        </w:rPr>
        <w:t>-1</w:t>
      </w:r>
      <w:r>
        <w:rPr>
          <w:rFonts w:hint="eastAsia" w:ascii="宋体" w:hAnsi="宋体" w:eastAsia="宋体" w:cs="宋体"/>
          <w:color w:val="000000"/>
          <w:sz w:val="21"/>
          <w:szCs w:val="21"/>
        </w:rPr>
        <w:t>。采用美国spellman公司生产的X射线荧光光谱仪（XRF，NAU-NAD200）对产品的成分进行测定，光电管为Mo靶铍窗口进行。</w:t>
      </w:r>
    </w:p>
    <w:p w14:paraId="74541CD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2" w:name="_Toc132370188"/>
      <w:bookmarkStart w:id="3" w:name="_Toc132346964"/>
      <w:bookmarkStart w:id="4" w:name="_Toc132356464"/>
      <w:bookmarkStart w:id="5" w:name="_Toc132561781"/>
      <w:bookmarkStart w:id="6" w:name="_Toc132356590"/>
      <w:bookmarkStart w:id="7" w:name="_Toc132531301"/>
      <w:r>
        <w:rPr>
          <w:rFonts w:hint="eastAsia" w:ascii="宋体" w:hAnsi="宋体" w:eastAsia="宋体" w:cs="宋体"/>
          <w:b/>
          <w:bCs/>
          <w:sz w:val="21"/>
          <w:szCs w:val="21"/>
          <w:lang w:val="en-US" w:eastAsia="zh-CN"/>
        </w:rPr>
        <w:t>1.2  实验方法</w:t>
      </w:r>
      <w:bookmarkEnd w:id="2"/>
      <w:bookmarkEnd w:id="3"/>
      <w:bookmarkEnd w:id="4"/>
      <w:bookmarkEnd w:id="5"/>
      <w:bookmarkEnd w:id="6"/>
      <w:bookmarkEnd w:id="7"/>
    </w:p>
    <w:p w14:paraId="59E4390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8" w:name="_Toc132561782"/>
      <w:bookmarkStart w:id="9" w:name="_Toc132356591"/>
      <w:bookmarkStart w:id="10" w:name="_Toc132346965"/>
      <w:bookmarkStart w:id="11" w:name="_Toc132370189"/>
      <w:bookmarkStart w:id="12" w:name="_Toc132531302"/>
      <w:bookmarkStart w:id="13" w:name="_Toc132356465"/>
      <w:r>
        <w:rPr>
          <w:rFonts w:hint="eastAsia" w:ascii="宋体" w:hAnsi="宋体" w:eastAsia="宋体" w:cs="宋体"/>
          <w:b/>
          <w:bCs/>
          <w:sz w:val="21"/>
          <w:szCs w:val="21"/>
          <w:lang w:val="en-US" w:eastAsia="zh-CN"/>
        </w:rPr>
        <w:t>1.2.1  原料预处理</w:t>
      </w:r>
      <w:bookmarkEnd w:id="8"/>
      <w:bookmarkEnd w:id="9"/>
      <w:bookmarkEnd w:id="10"/>
      <w:bookmarkEnd w:id="11"/>
      <w:bookmarkEnd w:id="12"/>
      <w:bookmarkEnd w:id="13"/>
    </w:p>
    <w:p w14:paraId="236CAD5E">
      <w:pPr>
        <w:pageBreakBefore w:val="0"/>
        <w:kinsoku/>
        <w:wordWrap/>
        <w:overflowPunct/>
        <w:topLinePunct w:val="0"/>
        <w:autoSpaceDE/>
        <w:autoSpaceDN/>
        <w:bidi w:val="0"/>
        <w:spacing w:line="400" w:lineRule="exact"/>
        <w:ind w:firstLine="420"/>
        <w:textAlignment w:val="auto"/>
        <w:rPr>
          <w:rFonts w:hint="eastAsia" w:ascii="宋体" w:hAnsi="宋体" w:eastAsia="宋体" w:cs="宋体"/>
          <w:sz w:val="21"/>
          <w:szCs w:val="21"/>
        </w:rPr>
      </w:pPr>
      <w:r>
        <w:rPr>
          <w:rFonts w:hint="eastAsia" w:ascii="宋体" w:hAnsi="宋体" w:eastAsia="宋体" w:cs="宋体"/>
          <w:sz w:val="21"/>
          <w:szCs w:val="21"/>
        </w:rPr>
        <w:t>硫精砂粉体易吸湿结块，在实验前需对板结的原料进行粉碎和干燥预处理。具体处理条件如下：称取适量硫精砂原料放入托盘中，并置于电热鼓风干燥箱中，在80 ℃条件下干燥4 h，随后取出、粉碎，置于密封袋中保存备用。</w:t>
      </w:r>
    </w:p>
    <w:p w14:paraId="1B43B13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4" w:name="_Toc132346966"/>
      <w:bookmarkStart w:id="15" w:name="_Toc132370190"/>
      <w:bookmarkStart w:id="16" w:name="_Toc132356466"/>
      <w:bookmarkStart w:id="17" w:name="_Toc132561783"/>
      <w:bookmarkStart w:id="18" w:name="_Toc132356592"/>
      <w:bookmarkStart w:id="19" w:name="_Toc132531303"/>
      <w:r>
        <w:rPr>
          <w:rFonts w:hint="eastAsia" w:ascii="宋体" w:hAnsi="宋体" w:eastAsia="宋体" w:cs="宋体"/>
          <w:b/>
          <w:bCs/>
          <w:sz w:val="21"/>
          <w:szCs w:val="21"/>
          <w:lang w:val="en-US" w:eastAsia="zh-CN"/>
        </w:rPr>
        <w:t xml:space="preserve">1.2.2  </w:t>
      </w:r>
      <w:bookmarkEnd w:id="14"/>
      <w:bookmarkEnd w:id="15"/>
      <w:bookmarkEnd w:id="16"/>
      <w:bookmarkEnd w:id="17"/>
      <w:bookmarkEnd w:id="18"/>
      <w:bookmarkEnd w:id="19"/>
      <w:r>
        <w:rPr>
          <w:rFonts w:hint="eastAsia" w:ascii="宋体" w:hAnsi="宋体" w:eastAsia="宋体" w:cs="宋体"/>
          <w:b/>
          <w:bCs/>
          <w:sz w:val="21"/>
          <w:szCs w:val="21"/>
          <w:lang w:val="en-US" w:eastAsia="zh-CN"/>
        </w:rPr>
        <w:t>硫精砂球团成型工艺</w:t>
      </w:r>
    </w:p>
    <w:p w14:paraId="379F1A8F">
      <w:pPr>
        <w:pageBreakBefore w:val="0"/>
        <w:kinsoku/>
        <w:wordWrap/>
        <w:overflowPunct/>
        <w:topLinePunct w:val="0"/>
        <w:autoSpaceDE/>
        <w:autoSpaceDN/>
        <w:bidi w:val="0"/>
        <w:spacing w:line="400" w:lineRule="exact"/>
        <w:ind w:firstLine="420"/>
        <w:textAlignment w:val="auto"/>
        <w:rPr>
          <w:rFonts w:hint="eastAsia" w:ascii="宋体" w:hAnsi="宋体" w:eastAsia="宋体" w:cs="宋体"/>
          <w:sz w:val="21"/>
          <w:szCs w:val="21"/>
        </w:rPr>
      </w:pPr>
      <w:r>
        <w:rPr>
          <w:rFonts w:hint="eastAsia" w:ascii="宋体" w:hAnsi="宋体" w:eastAsia="宋体" w:cs="宋体"/>
          <w:sz w:val="21"/>
          <w:szCs w:val="21"/>
        </w:rPr>
        <w:t>实验采用圆盘造粒机对粉料进行粒化处理，造粒流程如下：称取适量干燥粉体和粘结剂，在小型多功能中药制丸机中充分混匀后备用。启动圆盘造粒机，取约60 ~ 80 g上述充分混匀后的粉体物料和粘结剂，放入圆盘造粒机中，粉体物料随着倾斜圆盘的转动而滚动，用喷壶将粘结剂溶液喷洒于物料表面，使物料在滚动过程中初步形成微小颗粒，即微粒或颗粒内核。继续喷洒粘结剂并加入粉体物料，重复以上步骤，直至粉状物料形成粒径为2.0 ~ 4.0 mm的颗粒。</w:t>
      </w:r>
    </w:p>
    <w:p w14:paraId="4C7BBB2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1.2.3  工艺流程简图</w:t>
      </w:r>
    </w:p>
    <w:p w14:paraId="0B06119A">
      <w:pPr>
        <w:pageBreakBefore w:val="0"/>
        <w:kinsoku/>
        <w:wordWrap/>
        <w:overflowPunct/>
        <w:topLinePunct w:val="0"/>
        <w:autoSpaceDE/>
        <w:autoSpaceDN/>
        <w:bidi w:val="0"/>
        <w:spacing w:line="400" w:lineRule="exact"/>
        <w:ind w:firstLine="420"/>
        <w:textAlignment w:val="auto"/>
        <w:rPr>
          <w:rFonts w:hint="eastAsia" w:ascii="宋体" w:hAnsi="宋体" w:eastAsia="宋体" w:cs="宋体"/>
          <w:sz w:val="21"/>
          <w:szCs w:val="21"/>
        </w:rPr>
      </w:pPr>
      <w:bookmarkStart w:id="20" w:name="_Toc29789"/>
      <w:bookmarkStart w:id="21" w:name="_Toc13742"/>
      <w:r>
        <w:rPr>
          <w:rFonts w:hint="eastAsia" w:ascii="宋体" w:hAnsi="宋体" w:eastAsia="宋体" w:cs="宋体"/>
          <w:sz w:val="21"/>
          <w:szCs w:val="21"/>
        </w:rPr>
        <w:t>硫精砂颗粒制备工艺流程简图如图1所示。</w:t>
      </w:r>
      <w:bookmarkEnd w:id="20"/>
      <w:bookmarkEnd w:id="21"/>
    </w:p>
    <w:p w14:paraId="1DF50F64">
      <w:pPr>
        <w:ind w:firstLine="420"/>
      </w:pPr>
      <w:r>
        <w:rPr>
          <w:szCs w:val="24"/>
          <w:lang w:bidi="ar"/>
        </w:rPr>
        <w:fldChar w:fldCharType="begin"/>
      </w:r>
      <w:r>
        <w:rPr>
          <w:szCs w:val="24"/>
          <w:lang w:bidi="ar"/>
        </w:rPr>
        <w:instrText xml:space="preserve">INCLUDEPICTURE \d "C:\\Users\\hp\\AppData\\Roaming\\Tencent\\Users\\1684443665\\QQ\\WinTemp\\RichOle\\))ZCOI8YXAE}QA~{E`99P)U.png" \* MERGEFORMATINET </w:instrText>
      </w:r>
      <w:r>
        <w:rPr>
          <w:szCs w:val="24"/>
          <w:lang w:bidi="ar"/>
        </w:rPr>
        <w:fldChar w:fldCharType="separate"/>
      </w:r>
      <w:r>
        <w:t xml:space="preserve"> </w:t>
      </w:r>
      <w:r>
        <w:rPr>
          <w:szCs w:val="24"/>
          <w:lang w:bidi="ar"/>
        </w:rPr>
        <w:drawing>
          <wp:inline distT="0" distB="0" distL="0" distR="0">
            <wp:extent cx="5274310" cy="882015"/>
            <wp:effectExtent l="0" t="0" r="2540" b="13335"/>
            <wp:docPr id="12590030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03035" name="图片 1"/>
                    <pic:cNvPicPr>
                      <a:picLocks noChangeAspect="1"/>
                    </pic:cNvPicPr>
                  </pic:nvPicPr>
                  <pic:blipFill>
                    <a:blip r:embed="rId6"/>
                    <a:stretch>
                      <a:fillRect/>
                    </a:stretch>
                  </pic:blipFill>
                  <pic:spPr>
                    <a:xfrm>
                      <a:off x="0" y="0"/>
                      <a:ext cx="5274310" cy="882015"/>
                    </a:xfrm>
                    <a:prstGeom prst="rect">
                      <a:avLst/>
                    </a:prstGeom>
                  </pic:spPr>
                </pic:pic>
              </a:graphicData>
            </a:graphic>
          </wp:inline>
        </w:drawing>
      </w:r>
      <w:r>
        <w:rPr>
          <w:szCs w:val="24"/>
          <w:lang w:bidi="ar"/>
        </w:rPr>
        <w:fldChar w:fldCharType="end"/>
      </w:r>
    </w:p>
    <w:p w14:paraId="5D5C2965">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图1 工艺流程简图</w:t>
      </w:r>
    </w:p>
    <w:p w14:paraId="47F9D84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1.3  实验设计</w:t>
      </w:r>
    </w:p>
    <w:p w14:paraId="56EC0A6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22" w:name="_Toc132038385"/>
      <w:bookmarkStart w:id="23" w:name="_Toc68690267"/>
      <w:bookmarkStart w:id="24" w:name="_Toc132346968"/>
      <w:bookmarkStart w:id="25" w:name="_Toc132356468"/>
      <w:bookmarkStart w:id="26" w:name="_Toc132370192"/>
      <w:bookmarkStart w:id="27" w:name="_Toc132356594"/>
      <w:bookmarkStart w:id="28" w:name="_Toc132561785"/>
      <w:bookmarkStart w:id="29" w:name="_Toc132531305"/>
      <w:r>
        <w:rPr>
          <w:rFonts w:hint="eastAsia" w:ascii="宋体" w:hAnsi="宋体" w:eastAsia="宋体" w:cs="宋体"/>
          <w:b/>
          <w:bCs/>
          <w:sz w:val="21"/>
          <w:szCs w:val="21"/>
          <w:lang w:val="en-US" w:eastAsia="zh-CN"/>
        </w:rPr>
        <w:t xml:space="preserve">1.3.1  </w:t>
      </w:r>
      <w:bookmarkEnd w:id="22"/>
      <w:bookmarkEnd w:id="23"/>
      <w:r>
        <w:rPr>
          <w:rFonts w:hint="eastAsia" w:ascii="宋体" w:hAnsi="宋体" w:eastAsia="宋体" w:cs="宋体"/>
          <w:b/>
          <w:bCs/>
          <w:sz w:val="21"/>
          <w:szCs w:val="21"/>
          <w:lang w:val="en-US" w:eastAsia="zh-CN"/>
        </w:rPr>
        <w:t>粘结剂</w:t>
      </w:r>
      <w:bookmarkEnd w:id="24"/>
      <w:bookmarkEnd w:id="25"/>
      <w:bookmarkEnd w:id="26"/>
      <w:bookmarkEnd w:id="27"/>
      <w:r>
        <w:rPr>
          <w:rFonts w:hint="eastAsia" w:ascii="宋体" w:hAnsi="宋体" w:eastAsia="宋体" w:cs="宋体"/>
          <w:b/>
          <w:bCs/>
          <w:sz w:val="21"/>
          <w:szCs w:val="21"/>
          <w:lang w:val="en-US" w:eastAsia="zh-CN"/>
        </w:rPr>
        <w:t>选择</w:t>
      </w:r>
      <w:bookmarkEnd w:id="28"/>
      <w:bookmarkEnd w:id="29"/>
    </w:p>
    <w:p w14:paraId="3591FB2E">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rPr>
        <w:t>以预处理后过孔径为0.18 mm筛下的硫精砂粉体为原料，分别选用凹凸棒土、膨润土、C、D和E为造粒粘结剂，称取一定质量的粘结剂粉体与原料混合均匀后进行造粒。筛分出2 ~ 4 mm的球团，在干燥箱中干燥，考察不同粘结剂对产品成粒率、颗粒抗压强度和含水量的影响。</w:t>
      </w:r>
    </w:p>
    <w:p w14:paraId="3FEC4D7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30" w:name="_Toc132346970"/>
      <w:bookmarkStart w:id="31" w:name="_Toc132038387"/>
      <w:bookmarkStart w:id="32" w:name="_Toc68690270"/>
      <w:bookmarkStart w:id="33" w:name="_Toc132370194"/>
      <w:bookmarkStart w:id="34" w:name="_Toc132356470"/>
      <w:bookmarkStart w:id="35" w:name="_Toc132561787"/>
      <w:bookmarkStart w:id="36" w:name="_Toc132356596"/>
      <w:bookmarkStart w:id="37" w:name="_Toc132531307"/>
      <w:r>
        <w:rPr>
          <w:rFonts w:hint="eastAsia" w:ascii="宋体" w:hAnsi="宋体" w:eastAsia="宋体" w:cs="宋体"/>
          <w:b/>
          <w:bCs/>
          <w:sz w:val="21"/>
          <w:szCs w:val="21"/>
          <w:lang w:val="en-US" w:eastAsia="zh-CN"/>
        </w:rPr>
        <w:t>1.4  产品性能检测</w:t>
      </w:r>
      <w:bookmarkEnd w:id="30"/>
      <w:bookmarkEnd w:id="31"/>
      <w:bookmarkEnd w:id="32"/>
      <w:bookmarkEnd w:id="33"/>
      <w:bookmarkEnd w:id="34"/>
      <w:bookmarkEnd w:id="35"/>
      <w:bookmarkEnd w:id="36"/>
      <w:bookmarkEnd w:id="37"/>
    </w:p>
    <w:p w14:paraId="7F11923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38" w:name="_Toc132531308"/>
      <w:bookmarkStart w:id="39" w:name="_Toc132370195"/>
      <w:bookmarkStart w:id="40" w:name="_Toc132038388"/>
      <w:bookmarkStart w:id="41" w:name="_Toc132561788"/>
      <w:bookmarkStart w:id="42" w:name="_Toc132356471"/>
      <w:bookmarkStart w:id="43" w:name="_Toc132356597"/>
      <w:bookmarkStart w:id="44" w:name="_Toc132346971"/>
      <w:r>
        <w:rPr>
          <w:rFonts w:hint="eastAsia" w:ascii="宋体" w:hAnsi="宋体" w:eastAsia="宋体" w:cs="宋体"/>
          <w:b/>
          <w:bCs/>
          <w:sz w:val="21"/>
          <w:szCs w:val="21"/>
          <w:lang w:val="en-US" w:eastAsia="zh-CN"/>
        </w:rPr>
        <w:t xml:space="preserve">1.4.1  </w:t>
      </w:r>
      <w:bookmarkEnd w:id="38"/>
      <w:bookmarkEnd w:id="39"/>
      <w:bookmarkEnd w:id="40"/>
      <w:bookmarkEnd w:id="41"/>
      <w:bookmarkEnd w:id="42"/>
      <w:bookmarkEnd w:id="43"/>
      <w:bookmarkEnd w:id="44"/>
      <w:bookmarkStart w:id="45" w:name="_Hlk129975604"/>
      <w:r>
        <w:rPr>
          <w:rFonts w:hint="eastAsia" w:ascii="宋体" w:hAnsi="宋体" w:eastAsia="宋体" w:cs="宋体"/>
          <w:b/>
          <w:bCs/>
          <w:sz w:val="21"/>
          <w:szCs w:val="21"/>
          <w:lang w:val="en-US" w:eastAsia="zh-CN"/>
        </w:rPr>
        <w:t>成粒率测定</w:t>
      </w:r>
    </w:p>
    <w:p w14:paraId="6A5A612F">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rPr>
        <w:t>根据《复混肥料GB15063-2009》国家标准，颗粒肥标准直径应控制在1 ~ 4.75 mm之间，因此，本实验对制备的肥料颗粒采用孔径为2 mm和4 mm的标准筛进行筛分。成粒率可按下式进行计算：</w:t>
      </w:r>
    </w:p>
    <w:p w14:paraId="284F42E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宋体" w:hAnsi="宋体" w:eastAsia="宋体" w:cs="宋体"/>
          <w:vertAlign w:val="superscript"/>
        </w:rPr>
      </w:pPr>
      <m:oMathPara>
        <m:oMath>
          <m:eqArr>
            <m:eqArrPr>
              <m:maxDist m:val="1"/>
              <m:ctrlPr>
                <w:rPr>
                  <w:rFonts w:hint="eastAsia" w:ascii="Cambria Math" w:hAnsi="Cambria Math" w:eastAsia="宋体" w:cs="宋体"/>
                  <w:i/>
                  <w:vertAlign w:val="superscript"/>
                </w:rPr>
              </m:ctrlPr>
            </m:eqArrPr>
            <m:e>
              <m:r>
                <m:rPr/>
                <w:rPr>
                  <w:rFonts w:hint="eastAsia" w:ascii="Cambria Math" w:hAnsi="Cambria Math" w:eastAsia="宋体" w:cs="宋体"/>
                  <w:vertAlign w:val="superscript"/>
                </w:rPr>
                <m:t>X=</m:t>
              </m:r>
              <m:f>
                <m:fPr>
                  <m:ctrlPr>
                    <w:rPr>
                      <w:rFonts w:hint="eastAsia" w:ascii="Cambria Math" w:hAnsi="Cambria Math" w:eastAsia="宋体" w:cs="宋体"/>
                      <w:i/>
                      <w:iCs/>
                      <w:vertAlign w:val="superscript"/>
                    </w:rPr>
                  </m:ctrlPr>
                </m:fPr>
                <m:num>
                  <m:sSub>
                    <m:sSubPr>
                      <m:ctrlPr>
                        <w:rPr>
                          <w:rFonts w:hint="eastAsia" w:ascii="Cambria Math" w:hAnsi="Cambria Math" w:eastAsia="宋体" w:cs="宋体"/>
                          <w:i/>
                          <w:iCs/>
                          <w:vertAlign w:val="superscript"/>
                        </w:rPr>
                      </m:ctrlPr>
                    </m:sSubPr>
                    <m:e>
                      <m:r>
                        <m:rPr/>
                        <w:rPr>
                          <w:rFonts w:hint="eastAsia" w:ascii="Cambria Math" w:hAnsi="Cambria Math" w:eastAsia="宋体" w:cs="宋体"/>
                          <w:vertAlign w:val="superscript"/>
                        </w:rPr>
                        <m:t>m</m:t>
                      </m:r>
                      <m:ctrlPr>
                        <w:rPr>
                          <w:rFonts w:hint="eastAsia" w:ascii="Cambria Math" w:hAnsi="Cambria Math" w:eastAsia="宋体" w:cs="宋体"/>
                          <w:i/>
                          <w:iCs/>
                          <w:vertAlign w:val="superscript"/>
                        </w:rPr>
                      </m:ctrlPr>
                    </m:e>
                    <m:sub>
                      <m:r>
                        <m:rPr/>
                        <w:rPr>
                          <w:rFonts w:hint="eastAsia" w:ascii="Cambria Math" w:hAnsi="Cambria Math" w:eastAsia="宋体" w:cs="宋体"/>
                          <w:vertAlign w:val="superscript"/>
                        </w:rPr>
                        <m:t>1</m:t>
                      </m:r>
                      <m:ctrlPr>
                        <w:rPr>
                          <w:rFonts w:hint="eastAsia" w:ascii="Cambria Math" w:hAnsi="Cambria Math" w:eastAsia="宋体" w:cs="宋体"/>
                          <w:i/>
                          <w:iCs/>
                          <w:vertAlign w:val="superscript"/>
                        </w:rPr>
                      </m:ctrlPr>
                    </m:sub>
                  </m:sSub>
                  <m:ctrlPr>
                    <w:rPr>
                      <w:rFonts w:hint="eastAsia" w:ascii="Cambria Math" w:hAnsi="Cambria Math" w:eastAsia="宋体" w:cs="宋体"/>
                      <w:i/>
                      <w:iCs/>
                      <w:vertAlign w:val="superscript"/>
                    </w:rPr>
                  </m:ctrlPr>
                </m:num>
                <m:den>
                  <m:sSub>
                    <m:sSubPr>
                      <m:ctrlPr>
                        <w:rPr>
                          <w:rFonts w:hint="eastAsia" w:ascii="Cambria Math" w:hAnsi="Cambria Math" w:eastAsia="宋体" w:cs="宋体"/>
                          <w:i/>
                          <w:iCs/>
                          <w:vertAlign w:val="superscript"/>
                        </w:rPr>
                      </m:ctrlPr>
                    </m:sSubPr>
                    <m:e>
                      <m:r>
                        <m:rPr/>
                        <w:rPr>
                          <w:rFonts w:hint="eastAsia" w:ascii="Cambria Math" w:hAnsi="Cambria Math" w:eastAsia="宋体" w:cs="宋体"/>
                          <w:vertAlign w:val="superscript"/>
                        </w:rPr>
                        <m:t>m</m:t>
                      </m:r>
                      <m:ctrlPr>
                        <w:rPr>
                          <w:rFonts w:hint="eastAsia" w:ascii="Cambria Math" w:hAnsi="Cambria Math" w:eastAsia="宋体" w:cs="宋体"/>
                          <w:i/>
                          <w:iCs/>
                          <w:vertAlign w:val="superscript"/>
                        </w:rPr>
                      </m:ctrlPr>
                    </m:e>
                    <m:sub>
                      <m:r>
                        <m:rPr/>
                        <w:rPr>
                          <w:rFonts w:hint="eastAsia" w:ascii="Cambria Math" w:hAnsi="Cambria Math" w:eastAsia="宋体" w:cs="宋体"/>
                          <w:vertAlign w:val="superscript"/>
                        </w:rPr>
                        <m:t>2</m:t>
                      </m:r>
                      <m:ctrlPr>
                        <w:rPr>
                          <w:rFonts w:hint="eastAsia" w:ascii="Cambria Math" w:hAnsi="Cambria Math" w:eastAsia="宋体" w:cs="宋体"/>
                          <w:i/>
                          <w:iCs/>
                          <w:vertAlign w:val="superscript"/>
                        </w:rPr>
                      </m:ctrlPr>
                    </m:sub>
                  </m:sSub>
                  <m:ctrlPr>
                    <w:rPr>
                      <w:rFonts w:hint="eastAsia" w:ascii="Cambria Math" w:hAnsi="Cambria Math" w:eastAsia="宋体" w:cs="宋体"/>
                      <w:i/>
                      <w:iCs/>
                      <w:vertAlign w:val="superscript"/>
                    </w:rPr>
                  </m:ctrlPr>
                </m:den>
              </m:f>
              <m:r>
                <m:rPr/>
                <w:rPr>
                  <w:rFonts w:hint="eastAsia" w:ascii="Cambria Math" w:hAnsi="Cambria Math" w:eastAsia="宋体" w:cs="宋体"/>
                  <w:vertAlign w:val="superscript"/>
                </w:rPr>
                <m:t>×100%#</m:t>
              </m:r>
              <m:d>
                <m:dPr>
                  <m:begChr m:val="（"/>
                  <m:endChr m:val="）"/>
                  <m:ctrlPr>
                    <w:rPr>
                      <w:rFonts w:hint="eastAsia" w:ascii="Cambria Math" w:hAnsi="Cambria Math" w:eastAsia="宋体" w:cs="宋体"/>
                      <w:i/>
                      <w:vertAlign w:val="superscript"/>
                    </w:rPr>
                  </m:ctrlPr>
                </m:dPr>
                <m:e>
                  <m:r>
                    <m:rPr/>
                    <w:rPr>
                      <w:rFonts w:hint="eastAsia" w:ascii="Cambria Math" w:hAnsi="Cambria Math" w:eastAsia="宋体" w:cs="宋体"/>
                      <w:vertAlign w:val="superscript"/>
                    </w:rPr>
                    <m:t>1</m:t>
                  </m:r>
                  <m:ctrlPr>
                    <w:rPr>
                      <w:rFonts w:hint="eastAsia" w:ascii="Cambria Math" w:hAnsi="Cambria Math" w:eastAsia="宋体" w:cs="宋体"/>
                      <w:i/>
                      <w:vertAlign w:val="superscript"/>
                    </w:rPr>
                  </m:ctrlPr>
                </m:e>
              </m:d>
              <m:ctrlPr>
                <w:rPr>
                  <w:rFonts w:hint="eastAsia" w:ascii="Cambria Math" w:hAnsi="Cambria Math" w:eastAsia="宋体" w:cs="宋体"/>
                  <w:i/>
                  <w:vertAlign w:val="superscript"/>
                </w:rPr>
              </m:ctrlPr>
            </m:e>
          </m:eqArr>
        </m:oMath>
      </m:oMathPara>
    </w:p>
    <w:p w14:paraId="47BD3161">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rPr>
        <w:t>式中：</w:t>
      </w:r>
      <w:r>
        <w:rPr>
          <w:rFonts w:hint="eastAsia" w:ascii="宋体" w:hAnsi="宋体" w:eastAsia="宋体" w:cs="宋体"/>
          <w:i/>
          <w:iCs/>
        </w:rPr>
        <w:t>X</w:t>
      </w:r>
      <w:r>
        <w:rPr>
          <w:rFonts w:hint="eastAsia" w:ascii="宋体" w:hAnsi="宋体" w:eastAsia="宋体" w:cs="宋体"/>
        </w:rPr>
        <w:t>为成粒率，%；</w:t>
      </w:r>
      <w:r>
        <w:rPr>
          <w:rFonts w:hint="eastAsia" w:ascii="宋体" w:hAnsi="宋体" w:eastAsia="宋体" w:cs="宋体"/>
          <w:i/>
          <w:iCs/>
        </w:rPr>
        <w:t>m</w:t>
      </w:r>
      <w:r>
        <w:rPr>
          <w:rFonts w:hint="eastAsia" w:ascii="宋体" w:hAnsi="宋体" w:eastAsia="宋体" w:cs="宋体"/>
          <w:i/>
          <w:iCs/>
          <w:vertAlign w:val="subscript"/>
        </w:rPr>
        <w:t>1</w:t>
      </w:r>
      <w:r>
        <w:rPr>
          <w:rFonts w:hint="eastAsia" w:ascii="宋体" w:hAnsi="宋体" w:eastAsia="宋体" w:cs="宋体"/>
        </w:rPr>
        <w:t>为2 mm筛子上2 ~ 4 mm直径颗粒的总质量，g；</w:t>
      </w:r>
      <w:r>
        <w:rPr>
          <w:rFonts w:hint="eastAsia" w:ascii="宋体" w:hAnsi="宋体" w:eastAsia="宋体" w:cs="宋体"/>
          <w:i/>
          <w:iCs/>
        </w:rPr>
        <w:t>m</w:t>
      </w:r>
      <w:r>
        <w:rPr>
          <w:rFonts w:hint="eastAsia" w:ascii="宋体" w:hAnsi="宋体" w:eastAsia="宋体" w:cs="宋体"/>
          <w:i/>
          <w:iCs/>
          <w:vertAlign w:val="subscript"/>
        </w:rPr>
        <w:t>2</w:t>
      </w:r>
      <w:r>
        <w:rPr>
          <w:rFonts w:hint="eastAsia" w:ascii="宋体" w:hAnsi="宋体" w:eastAsia="宋体" w:cs="宋体"/>
        </w:rPr>
        <w:t>为造粒原料总质量，g。</w:t>
      </w:r>
    </w:p>
    <w:bookmarkEnd w:id="45"/>
    <w:p w14:paraId="3575458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46" w:name="_Toc132561790"/>
      <w:r>
        <w:rPr>
          <w:rFonts w:hint="eastAsia" w:ascii="宋体" w:hAnsi="宋体" w:eastAsia="宋体" w:cs="宋体"/>
          <w:b/>
          <w:bCs/>
          <w:sz w:val="21"/>
          <w:szCs w:val="21"/>
          <w:lang w:val="en-US" w:eastAsia="zh-CN"/>
        </w:rPr>
        <w:t>1.4.2  颗粒平均抗压强度测定</w:t>
      </w:r>
      <w:bookmarkEnd w:id="46"/>
    </w:p>
    <w:p w14:paraId="45BB8F4D">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color w:val="000000"/>
          <w:szCs w:val="21"/>
        </w:rPr>
        <w:t>根据</w:t>
      </w:r>
      <w:r>
        <w:rPr>
          <w:rFonts w:hint="eastAsia" w:ascii="宋体" w:hAnsi="宋体" w:eastAsia="宋体" w:cs="宋体"/>
          <w:szCs w:val="21"/>
        </w:rPr>
        <w:t>硝酸磷肥颗粒平均抗压强度测定（GB/T 10516-1989）国家标准</w:t>
      </w:r>
      <w:r>
        <w:rPr>
          <w:rFonts w:hint="eastAsia" w:ascii="宋体" w:hAnsi="宋体" w:eastAsia="宋体" w:cs="宋体"/>
          <w:color w:val="000000"/>
          <w:szCs w:val="21"/>
        </w:rPr>
        <w:t>，使用DL</w:t>
      </w:r>
      <w:r>
        <w:rPr>
          <w:rFonts w:hint="eastAsia" w:ascii="宋体" w:hAnsi="宋体" w:eastAsia="宋体" w:cs="宋体"/>
          <w:color w:val="000000"/>
          <w:szCs w:val="21"/>
          <w:vertAlign w:val="subscript"/>
        </w:rPr>
        <w:t>3</w:t>
      </w:r>
      <w:r>
        <w:rPr>
          <w:rFonts w:hint="eastAsia" w:ascii="宋体" w:hAnsi="宋体" w:eastAsia="宋体" w:cs="宋体"/>
          <w:color w:val="000000"/>
          <w:szCs w:val="21"/>
        </w:rPr>
        <w:t>型颗粒强度测定仪检测硫精砂球团的平均抗压强度，每组随机取30粒粒径为2.0 ~ 4.0 mm的颗粒，测定其强度并求取平均值</w:t>
      </w:r>
      <w:r>
        <w:rPr>
          <w:rFonts w:hint="eastAsia" w:ascii="宋体" w:hAnsi="宋体" w:eastAsia="宋体" w:cs="宋体"/>
          <w:i/>
          <w:iCs/>
          <w:color w:val="000000"/>
          <w:szCs w:val="21"/>
        </w:rPr>
        <w:t>M</w:t>
      </w:r>
      <w:r>
        <w:rPr>
          <w:rFonts w:hint="eastAsia" w:ascii="宋体" w:hAnsi="宋体" w:eastAsia="宋体" w:cs="宋体"/>
          <w:color w:val="000000"/>
          <w:szCs w:val="21"/>
        </w:rPr>
        <w:t>。平均抗压强度计算公式如下：</w:t>
      </w:r>
    </w:p>
    <w:p w14:paraId="4775595C">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ascii="宋体" w:hAnsi="宋体" w:eastAsia="宋体" w:cs="宋体"/>
          <w:szCs w:val="24"/>
          <w:lang w:bidi="ar"/>
        </w:rPr>
      </w:pPr>
      <m:oMathPara>
        <m:oMath>
          <m:eqArr>
            <m:eqArrPr>
              <m:maxDist m:val="1"/>
              <m:ctrlPr>
                <w:rPr>
                  <w:rFonts w:hint="eastAsia" w:ascii="Cambria Math" w:hAnsi="Cambria Math" w:eastAsia="宋体" w:cs="宋体"/>
                  <w:i/>
                  <w:szCs w:val="24"/>
                  <w:lang w:bidi="ar"/>
                </w:rPr>
              </m:ctrlPr>
            </m:eqArrPr>
            <m:e>
              <m:r>
                <m:rPr/>
                <w:rPr>
                  <w:rFonts w:hint="eastAsia" w:ascii="Cambria Math" w:hAnsi="Cambria Math" w:eastAsia="宋体" w:cs="宋体"/>
                  <w:szCs w:val="24"/>
                  <w:lang w:bidi="ar"/>
                </w:rPr>
                <m:t>M=</m:t>
              </m:r>
              <m:f>
                <m:fPr>
                  <m:ctrlPr>
                    <w:rPr>
                      <w:rFonts w:hint="eastAsia" w:ascii="Cambria Math" w:hAnsi="Cambria Math" w:eastAsia="宋体" w:cs="宋体"/>
                      <w:i/>
                      <w:iCs/>
                      <w:szCs w:val="24"/>
                      <w:lang w:bidi="ar"/>
                    </w:rPr>
                  </m:ctrlPr>
                </m:fPr>
                <m:num>
                  <m:sSubSup>
                    <m:sSubSupPr>
                      <m:ctrlPr>
                        <w:rPr>
                          <w:rFonts w:hint="eastAsia" w:ascii="Cambria Math" w:hAnsi="Cambria Math" w:eastAsia="宋体" w:cs="宋体"/>
                          <w:i/>
                          <w:iCs/>
                          <w:szCs w:val="24"/>
                          <w:lang w:bidi="ar"/>
                        </w:rPr>
                      </m:ctrlPr>
                    </m:sSubSupPr>
                    <m:e>
                      <m:r>
                        <m:rPr/>
                        <w:rPr>
                          <w:rFonts w:hint="eastAsia" w:ascii="Cambria Math" w:hAnsi="Cambria Math" w:eastAsia="宋体" w:cs="宋体"/>
                        </w:rPr>
                        <m:t>∑</m:t>
                      </m:r>
                      <m:ctrlPr>
                        <w:rPr>
                          <w:rFonts w:hint="eastAsia" w:ascii="Cambria Math" w:hAnsi="Cambria Math" w:eastAsia="宋体" w:cs="宋体"/>
                          <w:i/>
                          <w:iCs/>
                          <w:szCs w:val="24"/>
                          <w:lang w:bidi="ar"/>
                        </w:rPr>
                      </m:ctrlPr>
                    </m:e>
                    <m:sub>
                      <m:r>
                        <m:rPr/>
                        <w:rPr>
                          <w:rFonts w:hint="eastAsia" w:ascii="Cambria Math" w:hAnsi="Cambria Math" w:eastAsia="宋体" w:cs="宋体"/>
                          <w:szCs w:val="24"/>
                          <w:lang w:bidi="ar"/>
                        </w:rPr>
                        <m:t>i=1</m:t>
                      </m:r>
                      <m:ctrlPr>
                        <w:rPr>
                          <w:rFonts w:hint="eastAsia" w:ascii="Cambria Math" w:hAnsi="Cambria Math" w:eastAsia="宋体" w:cs="宋体"/>
                          <w:i/>
                          <w:iCs/>
                          <w:szCs w:val="24"/>
                          <w:lang w:bidi="ar"/>
                        </w:rPr>
                      </m:ctrlPr>
                    </m:sub>
                    <m:sup>
                      <m:r>
                        <m:rPr/>
                        <w:rPr>
                          <w:rFonts w:hint="eastAsia" w:ascii="Cambria Math" w:hAnsi="Cambria Math" w:eastAsia="宋体" w:cs="宋体"/>
                          <w:szCs w:val="24"/>
                          <w:lang w:bidi="ar"/>
                        </w:rPr>
                        <m:t>n</m:t>
                      </m:r>
                      <m:ctrlPr>
                        <w:rPr>
                          <w:rFonts w:hint="eastAsia" w:ascii="Cambria Math" w:hAnsi="Cambria Math" w:eastAsia="宋体" w:cs="宋体"/>
                          <w:i/>
                          <w:iCs/>
                          <w:szCs w:val="24"/>
                          <w:lang w:bidi="ar"/>
                        </w:rPr>
                      </m:ctrlPr>
                    </m:sup>
                  </m:sSubSup>
                  <m:sSub>
                    <m:sSubPr>
                      <m:ctrlPr>
                        <w:rPr>
                          <w:rFonts w:hint="eastAsia" w:ascii="Cambria Math" w:hAnsi="Cambria Math" w:eastAsia="宋体" w:cs="宋体"/>
                          <w:i/>
                          <w:iCs/>
                          <w:szCs w:val="24"/>
                          <w:lang w:bidi="ar"/>
                        </w:rPr>
                      </m:ctrlPr>
                    </m:sSubPr>
                    <m:e>
                      <m:r>
                        <m:rPr/>
                        <w:rPr>
                          <w:rFonts w:hint="eastAsia" w:ascii="Cambria Math" w:hAnsi="Cambria Math" w:eastAsia="宋体" w:cs="宋体"/>
                          <w:szCs w:val="24"/>
                          <w:lang w:bidi="ar"/>
                        </w:rPr>
                        <m:t>X</m:t>
                      </m:r>
                      <m:ctrlPr>
                        <w:rPr>
                          <w:rFonts w:hint="eastAsia" w:ascii="Cambria Math" w:hAnsi="Cambria Math" w:eastAsia="宋体" w:cs="宋体"/>
                          <w:i/>
                          <w:iCs/>
                          <w:szCs w:val="24"/>
                          <w:lang w:bidi="ar"/>
                        </w:rPr>
                      </m:ctrlPr>
                    </m:e>
                    <m:sub>
                      <m:r>
                        <m:rPr/>
                        <w:rPr>
                          <w:rFonts w:hint="eastAsia" w:ascii="Cambria Math" w:hAnsi="Cambria Math" w:eastAsia="宋体" w:cs="宋体"/>
                          <w:szCs w:val="24"/>
                          <w:lang w:bidi="ar"/>
                        </w:rPr>
                        <m:t>i</m:t>
                      </m:r>
                      <m:ctrlPr>
                        <w:rPr>
                          <w:rFonts w:hint="eastAsia" w:ascii="Cambria Math" w:hAnsi="Cambria Math" w:eastAsia="宋体" w:cs="宋体"/>
                          <w:i/>
                          <w:iCs/>
                          <w:szCs w:val="24"/>
                          <w:lang w:bidi="ar"/>
                        </w:rPr>
                      </m:ctrlPr>
                    </m:sub>
                  </m:sSub>
                  <m:ctrlPr>
                    <w:rPr>
                      <w:rFonts w:hint="eastAsia" w:ascii="Cambria Math" w:hAnsi="Cambria Math" w:eastAsia="宋体" w:cs="宋体"/>
                      <w:i/>
                      <w:iCs/>
                      <w:szCs w:val="24"/>
                      <w:lang w:bidi="ar"/>
                    </w:rPr>
                  </m:ctrlPr>
                </m:num>
                <m:den>
                  <m:r>
                    <m:rPr/>
                    <w:rPr>
                      <w:rFonts w:hint="eastAsia" w:ascii="Cambria Math" w:hAnsi="Cambria Math" w:eastAsia="宋体" w:cs="宋体"/>
                      <w:szCs w:val="24"/>
                      <w:lang w:bidi="ar"/>
                    </w:rPr>
                    <m:t>n</m:t>
                  </m:r>
                  <m:ctrlPr>
                    <w:rPr>
                      <w:rFonts w:hint="eastAsia" w:ascii="Cambria Math" w:hAnsi="Cambria Math" w:eastAsia="宋体" w:cs="宋体"/>
                      <w:i/>
                      <w:iCs/>
                      <w:szCs w:val="24"/>
                      <w:lang w:bidi="ar"/>
                    </w:rPr>
                  </m:ctrlPr>
                </m:den>
              </m:f>
              <m:r>
                <m:rPr/>
                <w:rPr>
                  <w:rFonts w:hint="eastAsia" w:ascii="Cambria Math" w:hAnsi="Cambria Math" w:eastAsia="宋体" w:cs="宋体"/>
                  <w:szCs w:val="24"/>
                  <w:lang w:bidi="ar"/>
                </w:rPr>
                <m:t>#</m:t>
              </m:r>
              <m:d>
                <m:dPr>
                  <m:begChr m:val="（"/>
                  <m:endChr m:val="）"/>
                  <m:ctrlPr>
                    <w:rPr>
                      <w:rFonts w:hint="eastAsia" w:ascii="Cambria Math" w:hAnsi="Cambria Math" w:eastAsia="宋体" w:cs="宋体"/>
                      <w:i/>
                      <w:szCs w:val="24"/>
                      <w:lang w:bidi="ar"/>
                    </w:rPr>
                  </m:ctrlPr>
                </m:dPr>
                <m:e>
                  <m:r>
                    <m:rPr/>
                    <w:rPr>
                      <w:rFonts w:hint="eastAsia" w:ascii="Cambria Math" w:hAnsi="Cambria Math" w:eastAsia="宋体" w:cs="宋体"/>
                      <w:szCs w:val="24"/>
                      <w:lang w:bidi="ar"/>
                    </w:rPr>
                    <m:t>2</m:t>
                  </m:r>
                  <m:ctrlPr>
                    <w:rPr>
                      <w:rFonts w:hint="eastAsia" w:ascii="Cambria Math" w:hAnsi="Cambria Math" w:eastAsia="宋体" w:cs="宋体"/>
                      <w:i/>
                      <w:szCs w:val="24"/>
                      <w:lang w:bidi="ar"/>
                    </w:rPr>
                  </m:ctrlPr>
                </m:e>
              </m:d>
              <m:ctrlPr>
                <w:rPr>
                  <w:rFonts w:hint="eastAsia" w:ascii="Cambria Math" w:hAnsi="Cambria Math" w:eastAsia="宋体" w:cs="宋体"/>
                  <w:i/>
                  <w:szCs w:val="24"/>
                  <w:lang w:bidi="ar"/>
                </w:rPr>
              </m:ctrlPr>
            </m:e>
          </m:eqArr>
        </m:oMath>
      </m:oMathPara>
    </w:p>
    <w:p w14:paraId="26523F04">
      <w:pPr>
        <w:keepNext w:val="0"/>
        <w:keepLines w:val="0"/>
        <w:pageBreakBefore w:val="0"/>
        <w:widowControl/>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color w:val="000000"/>
          <w:szCs w:val="21"/>
        </w:rPr>
        <w:t>式中：</w:t>
      </w:r>
      <w:r>
        <w:rPr>
          <w:rFonts w:hint="eastAsia" w:ascii="宋体" w:hAnsi="宋体" w:eastAsia="宋体" w:cs="宋体"/>
          <w:i/>
          <w:iCs/>
          <w:color w:val="000000"/>
          <w:szCs w:val="21"/>
        </w:rPr>
        <w:t>M</w:t>
      </w:r>
      <w:r>
        <w:rPr>
          <w:rFonts w:hint="eastAsia" w:ascii="宋体" w:hAnsi="宋体" w:eastAsia="宋体" w:cs="宋体"/>
          <w:color w:val="000000"/>
          <w:szCs w:val="21"/>
        </w:rPr>
        <w:t>为n个颗粒的平均抗压强度，N；i = 1，2，3……n（n = 30），</w:t>
      </w:r>
      <w:r>
        <w:rPr>
          <w:rFonts w:hint="eastAsia" w:ascii="宋体" w:hAnsi="宋体" w:eastAsia="宋体" w:cs="宋体"/>
          <w:i/>
          <w:color w:val="000000"/>
          <w:szCs w:val="21"/>
        </w:rPr>
        <w:t>X</w:t>
      </w:r>
      <w:r>
        <w:rPr>
          <w:rFonts w:hint="eastAsia" w:ascii="宋体" w:hAnsi="宋体" w:eastAsia="宋体" w:cs="宋体"/>
          <w:i/>
          <w:color w:val="000000"/>
          <w:szCs w:val="21"/>
          <w:vertAlign w:val="subscript"/>
        </w:rPr>
        <w:t>i</w:t>
      </w:r>
      <w:r>
        <w:rPr>
          <w:rFonts w:hint="eastAsia" w:ascii="宋体" w:hAnsi="宋体" w:eastAsia="宋体" w:cs="宋体"/>
          <w:color w:val="000000"/>
          <w:szCs w:val="21"/>
        </w:rPr>
        <w:t>为第i个颗粒的抗压强度。</w:t>
      </w:r>
    </w:p>
    <w:p w14:paraId="5CEB098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47" w:name="_Toc132561791"/>
      <w:r>
        <w:rPr>
          <w:rFonts w:hint="eastAsia" w:ascii="宋体" w:hAnsi="宋体" w:eastAsia="宋体" w:cs="宋体"/>
          <w:b/>
          <w:bCs/>
          <w:sz w:val="21"/>
          <w:szCs w:val="21"/>
          <w:lang w:val="en-US" w:eastAsia="zh-CN"/>
        </w:rPr>
        <w:t>1.4.3  平均含水量测定</w:t>
      </w:r>
      <w:bookmarkEnd w:id="47"/>
    </w:p>
    <w:p w14:paraId="3FDA296F">
      <w:pPr>
        <w:keepNext w:val="0"/>
        <w:keepLines w:val="0"/>
        <w:pageBreakBefore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rPr>
        <w:t>根据《GB/T 28731-2012》测定颗粒含水量，具体操作如下：称取粉碎后的样品</w:t>
      </w:r>
      <w:r>
        <w:rPr>
          <w:rFonts w:hint="eastAsia" w:ascii="宋体" w:hAnsi="宋体" w:eastAsia="宋体" w:cs="宋体"/>
          <w:i/>
          <w:iCs/>
        </w:rPr>
        <w:t>m</w:t>
      </w:r>
      <w:r>
        <w:rPr>
          <w:rFonts w:hint="eastAsia" w:ascii="宋体" w:hAnsi="宋体" w:eastAsia="宋体" w:cs="宋体"/>
        </w:rPr>
        <w:t>，平摊于预先干燥并已称量过为</w:t>
      </w:r>
      <w:r>
        <w:rPr>
          <w:rFonts w:hint="eastAsia" w:ascii="宋体" w:hAnsi="宋体" w:eastAsia="宋体" w:cs="宋体"/>
          <w:i/>
          <w:iCs/>
        </w:rPr>
        <w:t>m</w:t>
      </w:r>
      <w:r>
        <w:rPr>
          <w:rFonts w:hint="eastAsia" w:ascii="宋体" w:hAnsi="宋体" w:eastAsia="宋体" w:cs="宋体"/>
          <w:i/>
          <w:iCs/>
          <w:vertAlign w:val="subscript"/>
        </w:rPr>
        <w:t>1</w:t>
      </w:r>
      <w:r>
        <w:rPr>
          <w:rFonts w:hint="eastAsia" w:ascii="宋体" w:hAnsi="宋体" w:eastAsia="宋体" w:cs="宋体"/>
        </w:rPr>
        <w:t>的称量瓶内，放入预先鼓风并已加热到105 ℃的干燥箱中，干燥2 h。置于干燥器中冷却至室温(约20 min)后称量，总质量记为</w:t>
      </w:r>
      <w:r>
        <w:rPr>
          <w:rFonts w:hint="eastAsia" w:ascii="宋体" w:hAnsi="宋体" w:eastAsia="宋体" w:cs="宋体"/>
          <w:i/>
          <w:iCs/>
        </w:rPr>
        <w:t>m</w:t>
      </w:r>
      <w:r>
        <w:rPr>
          <w:rFonts w:hint="eastAsia" w:ascii="宋体" w:hAnsi="宋体" w:eastAsia="宋体" w:cs="宋体"/>
          <w:i/>
          <w:iCs/>
          <w:vertAlign w:val="subscript"/>
        </w:rPr>
        <w:t>2</w:t>
      </w:r>
      <w:r>
        <w:rPr>
          <w:rFonts w:hint="eastAsia" w:ascii="宋体" w:hAnsi="宋体" w:eastAsia="宋体" w:cs="宋体"/>
        </w:rPr>
        <w:t>。产品颗粒水分含量可按下式计算：</w:t>
      </w:r>
    </w:p>
    <w:p w14:paraId="31A62EAA">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ascii="宋体" w:hAnsi="宋体" w:eastAsia="宋体" w:cs="宋体"/>
        </w:rPr>
      </w:pPr>
      <m:oMathPara>
        <m:oMath>
          <m:eqArr>
            <m:eqArrPr>
              <m:maxDist m:val="1"/>
              <m:ctrlPr>
                <w:rPr>
                  <w:rFonts w:hint="eastAsia" w:ascii="Cambria Math" w:hAnsi="Cambria Math" w:eastAsia="宋体" w:cs="宋体"/>
                  <w:i/>
                  <w:szCs w:val="24"/>
                  <w:lang w:bidi="ar"/>
                </w:rPr>
              </m:ctrlPr>
            </m:eqArrPr>
            <m:e>
              <m:r>
                <m:rPr/>
                <w:rPr>
                  <w:rFonts w:hint="eastAsia" w:ascii="Cambria Math" w:hAnsi="Cambria Math" w:eastAsia="宋体" w:cs="宋体"/>
                  <w:szCs w:val="24"/>
                  <w:lang w:bidi="ar"/>
                </w:rPr>
                <m:t>W=</m:t>
              </m:r>
              <m:f>
                <m:fPr>
                  <m:ctrlPr>
                    <w:rPr>
                      <w:rFonts w:hint="eastAsia" w:ascii="Cambria Math" w:hAnsi="Cambria Math" w:eastAsia="宋体" w:cs="宋体"/>
                      <w:i/>
                      <w:iCs/>
                      <w:szCs w:val="24"/>
                      <w:lang w:bidi="ar"/>
                    </w:rPr>
                  </m:ctrlPr>
                </m:fPr>
                <m:num>
                  <m:sSub>
                    <m:sSubPr>
                      <m:ctrlPr>
                        <w:rPr>
                          <w:rFonts w:hint="eastAsia" w:ascii="Cambria Math" w:hAnsi="Cambria Math" w:eastAsia="宋体" w:cs="宋体"/>
                          <w:i/>
                          <w:iCs/>
                          <w:szCs w:val="24"/>
                          <w:lang w:bidi="ar"/>
                        </w:rPr>
                      </m:ctrlPr>
                    </m:sSubPr>
                    <m:e>
                      <m:r>
                        <m:rPr/>
                        <w:rPr>
                          <w:rFonts w:hint="eastAsia" w:ascii="Cambria Math" w:hAnsi="Cambria Math" w:eastAsia="宋体" w:cs="宋体"/>
                          <w:szCs w:val="24"/>
                          <w:lang w:bidi="ar"/>
                        </w:rPr>
                        <m:t>m</m:t>
                      </m:r>
                      <m:ctrlPr>
                        <w:rPr>
                          <w:rFonts w:hint="eastAsia" w:ascii="Cambria Math" w:hAnsi="Cambria Math" w:eastAsia="宋体" w:cs="宋体"/>
                          <w:i/>
                          <w:iCs/>
                          <w:szCs w:val="24"/>
                          <w:lang w:bidi="ar"/>
                        </w:rPr>
                      </m:ctrlPr>
                    </m:e>
                    <m:sub>
                      <m:r>
                        <m:rPr/>
                        <w:rPr>
                          <w:rFonts w:hint="eastAsia" w:ascii="Cambria Math" w:hAnsi="Cambria Math" w:eastAsia="宋体" w:cs="宋体"/>
                          <w:szCs w:val="24"/>
                          <w:lang w:bidi="ar"/>
                        </w:rPr>
                        <m:t>2</m:t>
                      </m:r>
                      <m:ctrlPr>
                        <w:rPr>
                          <w:rFonts w:hint="eastAsia" w:ascii="Cambria Math" w:hAnsi="Cambria Math" w:eastAsia="宋体" w:cs="宋体"/>
                          <w:i/>
                          <w:iCs/>
                          <w:szCs w:val="24"/>
                          <w:lang w:bidi="ar"/>
                        </w:rPr>
                      </m:ctrlPr>
                    </m:sub>
                  </m:sSub>
                  <m:r>
                    <m:rPr/>
                    <w:rPr>
                      <w:rFonts w:hint="eastAsia" w:ascii="Cambria Math" w:hAnsi="Cambria Math" w:eastAsia="宋体" w:cs="宋体"/>
                      <w:szCs w:val="24"/>
                      <w:lang w:bidi="ar"/>
                    </w:rPr>
                    <m:t>−</m:t>
                  </m:r>
                  <m:sSub>
                    <m:sSubPr>
                      <m:ctrlPr>
                        <w:rPr>
                          <w:rFonts w:hint="eastAsia" w:ascii="Cambria Math" w:hAnsi="Cambria Math" w:eastAsia="宋体" w:cs="宋体"/>
                          <w:i/>
                          <w:iCs/>
                          <w:szCs w:val="24"/>
                          <w:lang w:bidi="ar"/>
                        </w:rPr>
                      </m:ctrlPr>
                    </m:sSubPr>
                    <m:e>
                      <m:r>
                        <m:rPr/>
                        <w:rPr>
                          <w:rFonts w:hint="eastAsia" w:ascii="Cambria Math" w:hAnsi="Cambria Math" w:eastAsia="宋体" w:cs="宋体"/>
                          <w:szCs w:val="24"/>
                          <w:lang w:bidi="ar"/>
                        </w:rPr>
                        <m:t>m</m:t>
                      </m:r>
                      <m:ctrlPr>
                        <w:rPr>
                          <w:rFonts w:hint="eastAsia" w:ascii="Cambria Math" w:hAnsi="Cambria Math" w:eastAsia="宋体" w:cs="宋体"/>
                          <w:i/>
                          <w:iCs/>
                          <w:szCs w:val="24"/>
                          <w:lang w:bidi="ar"/>
                        </w:rPr>
                      </m:ctrlPr>
                    </m:e>
                    <m:sub>
                      <m:r>
                        <m:rPr/>
                        <w:rPr>
                          <w:rFonts w:hint="eastAsia" w:ascii="Cambria Math" w:hAnsi="Cambria Math" w:eastAsia="宋体" w:cs="宋体"/>
                          <w:szCs w:val="24"/>
                          <w:lang w:bidi="ar"/>
                        </w:rPr>
                        <m:t>1</m:t>
                      </m:r>
                      <m:ctrlPr>
                        <w:rPr>
                          <w:rFonts w:hint="eastAsia" w:ascii="Cambria Math" w:hAnsi="Cambria Math" w:eastAsia="宋体" w:cs="宋体"/>
                          <w:i/>
                          <w:iCs/>
                          <w:szCs w:val="24"/>
                          <w:lang w:bidi="ar"/>
                        </w:rPr>
                      </m:ctrlPr>
                    </m:sub>
                  </m:sSub>
                  <m:ctrlPr>
                    <w:rPr>
                      <w:rFonts w:hint="eastAsia" w:ascii="Cambria Math" w:hAnsi="Cambria Math" w:eastAsia="宋体" w:cs="宋体"/>
                      <w:i/>
                      <w:iCs/>
                      <w:szCs w:val="24"/>
                      <w:lang w:bidi="ar"/>
                    </w:rPr>
                  </m:ctrlPr>
                </m:num>
                <m:den>
                  <m:r>
                    <m:rPr/>
                    <w:rPr>
                      <w:rFonts w:hint="eastAsia" w:ascii="Cambria Math" w:hAnsi="Cambria Math" w:eastAsia="宋体" w:cs="宋体"/>
                      <w:szCs w:val="24"/>
                      <w:lang w:bidi="ar"/>
                    </w:rPr>
                    <m:t>m</m:t>
                  </m:r>
                  <m:ctrlPr>
                    <w:rPr>
                      <w:rFonts w:hint="eastAsia" w:ascii="Cambria Math" w:hAnsi="Cambria Math" w:eastAsia="宋体" w:cs="宋体"/>
                      <w:i/>
                      <w:iCs/>
                      <w:szCs w:val="24"/>
                      <w:lang w:bidi="ar"/>
                    </w:rPr>
                  </m:ctrlPr>
                </m:den>
              </m:f>
              <m:r>
                <m:rPr/>
                <w:rPr>
                  <w:rFonts w:hint="eastAsia" w:ascii="Cambria Math" w:hAnsi="Cambria Math" w:eastAsia="宋体" w:cs="宋体"/>
                  <w:szCs w:val="24"/>
                  <w:lang w:bidi="ar"/>
                </w:rPr>
                <m:t>×100%#</m:t>
              </m:r>
              <m:d>
                <m:dPr>
                  <m:begChr m:val="（"/>
                  <m:endChr m:val="）"/>
                  <m:ctrlPr>
                    <w:rPr>
                      <w:rFonts w:hint="eastAsia" w:ascii="Cambria Math" w:hAnsi="Cambria Math" w:eastAsia="宋体" w:cs="宋体"/>
                      <w:i/>
                      <w:szCs w:val="24"/>
                      <w:lang w:bidi="ar"/>
                    </w:rPr>
                  </m:ctrlPr>
                </m:dPr>
                <m:e>
                  <m:r>
                    <m:rPr/>
                    <w:rPr>
                      <w:rFonts w:hint="eastAsia" w:ascii="Cambria Math" w:hAnsi="Cambria Math" w:eastAsia="宋体" w:cs="宋体"/>
                      <w:szCs w:val="24"/>
                      <w:lang w:bidi="ar"/>
                    </w:rPr>
                    <m:t>3</m:t>
                  </m:r>
                  <m:ctrlPr>
                    <w:rPr>
                      <w:rFonts w:hint="eastAsia" w:ascii="Cambria Math" w:hAnsi="Cambria Math" w:eastAsia="宋体" w:cs="宋体"/>
                      <w:i/>
                      <w:szCs w:val="24"/>
                      <w:lang w:bidi="ar"/>
                    </w:rPr>
                  </m:ctrlPr>
                </m:e>
              </m:d>
              <m:ctrlPr>
                <w:rPr>
                  <w:rFonts w:hint="eastAsia" w:ascii="Cambria Math" w:hAnsi="Cambria Math" w:eastAsia="宋体" w:cs="宋体"/>
                  <w:i/>
                  <w:szCs w:val="24"/>
                  <w:lang w:bidi="ar"/>
                </w:rPr>
              </m:ctrlPr>
            </m:e>
          </m:eqArr>
        </m:oMath>
      </m:oMathPara>
    </w:p>
    <w:p w14:paraId="000D93E1">
      <w:pPr>
        <w:keepNext w:val="0"/>
        <w:keepLines w:val="0"/>
        <w:pageBreakBefore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szCs w:val="24"/>
          <w:lang w:bidi="ar"/>
        </w:rPr>
      </w:pPr>
      <w:r>
        <w:rPr>
          <w:rFonts w:hint="eastAsia" w:ascii="宋体" w:hAnsi="宋体" w:eastAsia="宋体" w:cs="宋体"/>
          <w:szCs w:val="24"/>
          <w:lang w:bidi="ar"/>
        </w:rPr>
        <w:t>式中，</w:t>
      </w:r>
      <w:r>
        <w:rPr>
          <w:rFonts w:hint="eastAsia" w:ascii="宋体" w:hAnsi="宋体" w:eastAsia="宋体" w:cs="宋体"/>
          <w:i/>
          <w:iCs/>
          <w:szCs w:val="24"/>
          <w:lang w:bidi="ar"/>
        </w:rPr>
        <w:t>W</w:t>
      </w:r>
      <w:r>
        <w:rPr>
          <w:rFonts w:hint="eastAsia" w:ascii="宋体" w:hAnsi="宋体" w:eastAsia="宋体" w:cs="宋体"/>
          <w:szCs w:val="24"/>
          <w:lang w:bidi="ar"/>
        </w:rPr>
        <w:t>为颗粒含水量，%；</w:t>
      </w:r>
      <w:r>
        <w:rPr>
          <w:rFonts w:hint="eastAsia" w:ascii="宋体" w:hAnsi="宋体" w:eastAsia="宋体" w:cs="宋体"/>
          <w:i/>
          <w:iCs/>
          <w:szCs w:val="24"/>
          <w:lang w:bidi="ar"/>
        </w:rPr>
        <w:t>m</w:t>
      </w:r>
      <w:r>
        <w:rPr>
          <w:rFonts w:hint="eastAsia" w:ascii="宋体" w:hAnsi="宋体" w:eastAsia="宋体" w:cs="宋体"/>
          <w:szCs w:val="24"/>
          <w:lang w:bidi="ar"/>
        </w:rPr>
        <w:t>为样品颗粒质量，g；</w:t>
      </w:r>
      <w:r>
        <w:rPr>
          <w:rFonts w:hint="eastAsia" w:ascii="宋体" w:hAnsi="宋体" w:eastAsia="宋体" w:cs="宋体"/>
          <w:i/>
          <w:iCs/>
          <w:szCs w:val="24"/>
          <w:lang w:bidi="ar"/>
        </w:rPr>
        <w:t>m</w:t>
      </w:r>
      <w:r>
        <w:rPr>
          <w:rFonts w:hint="eastAsia" w:ascii="宋体" w:hAnsi="宋体" w:eastAsia="宋体" w:cs="宋体"/>
          <w:i/>
          <w:iCs/>
          <w:szCs w:val="24"/>
          <w:vertAlign w:val="subscript"/>
          <w:lang w:bidi="ar"/>
        </w:rPr>
        <w:t>1</w:t>
      </w:r>
      <w:r>
        <w:rPr>
          <w:rFonts w:hint="eastAsia" w:ascii="宋体" w:hAnsi="宋体" w:eastAsia="宋体" w:cs="宋体"/>
          <w:szCs w:val="24"/>
          <w:lang w:bidi="ar"/>
        </w:rPr>
        <w:t>为预先干燥至恒重称量瓶质量，g；</w:t>
      </w:r>
      <w:r>
        <w:rPr>
          <w:rFonts w:hint="eastAsia" w:ascii="宋体" w:hAnsi="宋体" w:eastAsia="宋体" w:cs="宋体"/>
          <w:i/>
          <w:iCs/>
          <w:szCs w:val="24"/>
          <w:lang w:bidi="ar"/>
        </w:rPr>
        <w:t>m</w:t>
      </w:r>
      <w:r>
        <w:rPr>
          <w:rFonts w:hint="eastAsia" w:ascii="宋体" w:hAnsi="宋体" w:eastAsia="宋体" w:cs="宋体"/>
          <w:i/>
          <w:iCs/>
          <w:szCs w:val="24"/>
          <w:vertAlign w:val="subscript"/>
          <w:lang w:bidi="ar"/>
        </w:rPr>
        <w:t>2</w:t>
      </w:r>
      <w:r>
        <w:rPr>
          <w:rFonts w:hint="eastAsia" w:ascii="宋体" w:hAnsi="宋体" w:eastAsia="宋体" w:cs="宋体"/>
          <w:szCs w:val="24"/>
          <w:lang w:bidi="ar"/>
        </w:rPr>
        <w:t>为干燥后的样品与称量瓶的总质量，g。</w:t>
      </w:r>
    </w:p>
    <w:p w14:paraId="63F4736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48" w:name="_Toc132531311"/>
      <w:bookmarkStart w:id="49" w:name="_Toc132356600"/>
      <w:bookmarkStart w:id="50" w:name="_Toc132356474"/>
      <w:bookmarkStart w:id="51" w:name="_Toc68690271"/>
      <w:bookmarkStart w:id="52" w:name="_Toc132561794"/>
      <w:bookmarkStart w:id="53" w:name="_Toc132346974"/>
      <w:bookmarkStart w:id="54" w:name="_Toc132038390"/>
      <w:bookmarkStart w:id="55" w:name="_Toc132370198"/>
      <w:r>
        <w:rPr>
          <w:rFonts w:hint="eastAsia" w:ascii="宋体" w:hAnsi="宋体" w:eastAsia="宋体" w:cs="宋体"/>
          <w:b/>
          <w:bCs/>
          <w:sz w:val="21"/>
          <w:szCs w:val="21"/>
          <w:lang w:val="en-US" w:eastAsia="zh-CN"/>
        </w:rPr>
        <w:t xml:space="preserve">2  </w:t>
      </w:r>
      <w:bookmarkEnd w:id="48"/>
      <w:bookmarkEnd w:id="49"/>
      <w:bookmarkEnd w:id="50"/>
      <w:bookmarkEnd w:id="51"/>
      <w:bookmarkEnd w:id="52"/>
      <w:bookmarkEnd w:id="53"/>
      <w:bookmarkEnd w:id="54"/>
      <w:bookmarkEnd w:id="55"/>
      <w:r>
        <w:rPr>
          <w:rFonts w:hint="eastAsia" w:ascii="宋体" w:hAnsi="宋体" w:eastAsia="宋体" w:cs="宋体"/>
          <w:b/>
          <w:bCs/>
          <w:sz w:val="21"/>
          <w:szCs w:val="21"/>
          <w:lang w:val="en-US" w:eastAsia="zh-CN"/>
        </w:rPr>
        <w:t>结果与讨论</w:t>
      </w:r>
    </w:p>
    <w:p w14:paraId="05C23B6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  粘结剂对比分析</w:t>
      </w:r>
    </w:p>
    <w:p w14:paraId="033133F0">
      <w:pPr>
        <w:keepNext w:val="0"/>
        <w:keepLines w:val="0"/>
        <w:pageBreakBefore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lang w:bidi="ar"/>
        </w:rPr>
      </w:pPr>
      <w:bookmarkStart w:id="56" w:name="_Toc68690273"/>
      <w:bookmarkStart w:id="57" w:name="_Toc132346975"/>
      <w:bookmarkStart w:id="58" w:name="_Toc132531312"/>
      <w:bookmarkStart w:id="59" w:name="_Toc132370199"/>
      <w:bookmarkStart w:id="60" w:name="_Toc132356601"/>
      <w:bookmarkStart w:id="61" w:name="_Toc132038392"/>
      <w:bookmarkStart w:id="62" w:name="_Toc132561795"/>
      <w:bookmarkStart w:id="63" w:name="_Toc132356475"/>
      <w:r>
        <w:rPr>
          <w:rFonts w:hint="eastAsia" w:ascii="宋体" w:hAnsi="宋体" w:eastAsia="宋体" w:cs="宋体"/>
          <w:lang w:bidi="ar"/>
        </w:rPr>
        <w:t>按照1.3.1节实验设计进行对比研究。基于产品使用条件和性能，实验分别选用凹凸棒土、膨润土、C、D和E为造粒粘结剂，称取一定质量的粘结剂粉体与过孔径0.18 mm下的原料混合均匀后进行造粒，筛分出2 ~ 4 mm球团，干燥后考察不同粘结剂对产品成粒率、颗粒平均抗压强度和含水量的影响，实验结果如图2所示。</w:t>
      </w:r>
    </w:p>
    <w:p w14:paraId="11A23590">
      <w:pPr>
        <w:keepNext w:val="0"/>
        <w:keepLines w:val="0"/>
        <w:pageBreakBefore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lang w:bidi="ar"/>
        </w:rPr>
      </w:pPr>
      <w:r>
        <w:rPr>
          <w:rFonts w:hint="eastAsia" w:ascii="宋体" w:hAnsi="宋体" w:eastAsia="宋体" w:cs="宋体"/>
          <w:lang w:bidi="ar"/>
        </w:rPr>
        <w:t>由图2（a）可知，五种粘结剂造粒，D和E对球团颗粒抗压强度影响最大，分别26.6 N和28.3 N。</w:t>
      </w:r>
    </w:p>
    <w:p w14:paraId="16ED91B6">
      <w:pPr>
        <w:keepNext w:val="0"/>
        <w:keepLines w:val="0"/>
        <w:pageBreakBefore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lang w:bidi="ar"/>
        </w:rPr>
      </w:pPr>
      <w:r>
        <w:rPr>
          <w:rFonts w:hint="eastAsia" w:ascii="宋体" w:hAnsi="宋体" w:eastAsia="宋体" w:cs="宋体"/>
          <w:lang w:bidi="ar"/>
        </w:rPr>
        <w:t>由图2（a）可知，含有D、E的球团颗粒具有较大含水量，分别为12.3%、5.41%，其中E粘结的颗粒含水量最大，这是因为E透水性较弱。由图2（b）可知，不同粘结剂成粒率存在差异，其中使用C造粒成粒率较低，原因在于C粘结性较低，不利于球团形成。</w:t>
      </w:r>
    </w:p>
    <w:p w14:paraId="32FBA6AB">
      <w:pPr>
        <w:keepNext w:val="0"/>
        <w:keepLines w:val="0"/>
        <w:pageBreakBefore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lang w:bidi="ar"/>
        </w:rPr>
      </w:pPr>
      <w:r>
        <w:rPr>
          <w:rFonts w:hint="eastAsia" w:ascii="宋体" w:hAnsi="宋体" w:eastAsia="宋体" w:cs="宋体"/>
          <w:lang w:bidi="ar"/>
        </w:rPr>
        <w:t>综合所述，D粘结的球团颗粒抗压性能最好，抗压强度为28.3 N，颗粒平均含水量为5.41%。但产品颗粒强度仍需提升，基于此目的，由于D水化作用缓慢，E具备含水高、失水收缩特性，利于D水化作用和干燥过程中粉体相互嵌合。因此，本文接下来探究D和E组合对球团颗粒性能的影响作用。</w:t>
      </w:r>
    </w:p>
    <w:p w14:paraId="7B35C6C2">
      <w:pPr>
        <w:spacing w:line="240" w:lineRule="atLeast"/>
        <w:ind w:firstLine="0" w:firstLineChars="0"/>
        <w:jc w:val="center"/>
        <w:rPr>
          <w:rFonts w:cs="Times New Roman"/>
          <w:lang w:bidi="ar"/>
        </w:rPr>
      </w:pPr>
      <w:r>
        <w:rPr>
          <w:rFonts w:cs="Times New Roman"/>
        </w:rPr>
        <w:drawing>
          <wp:inline distT="0" distB="0" distL="0" distR="0">
            <wp:extent cx="2195830" cy="3512185"/>
            <wp:effectExtent l="0" t="0" r="13970" b="12065"/>
            <wp:docPr id="8761038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103888" name="图片 1"/>
                    <pic:cNvPicPr>
                      <a:picLocks noChangeAspect="1"/>
                    </pic:cNvPicPr>
                  </pic:nvPicPr>
                  <pic:blipFill>
                    <a:blip r:embed="rId7"/>
                    <a:stretch>
                      <a:fillRect/>
                    </a:stretch>
                  </pic:blipFill>
                  <pic:spPr>
                    <a:xfrm>
                      <a:off x="0" y="0"/>
                      <a:ext cx="2196000" cy="3512483"/>
                    </a:xfrm>
                    <a:prstGeom prst="rect">
                      <a:avLst/>
                    </a:prstGeom>
                  </pic:spPr>
                </pic:pic>
              </a:graphicData>
            </a:graphic>
          </wp:inline>
        </w:drawing>
      </w:r>
    </w:p>
    <w:p w14:paraId="5916FC1B">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图2 粘结剂类型对颗粒性能（a）和成粒率（b）的影响</w:t>
      </w:r>
    </w:p>
    <w:p w14:paraId="71BFF6E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  单因素实验</w:t>
      </w:r>
    </w:p>
    <w:p w14:paraId="6A31F91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 xml:space="preserve">2.2.1  </w:t>
      </w:r>
      <w:bookmarkEnd w:id="56"/>
      <w:r>
        <w:rPr>
          <w:rFonts w:hint="eastAsia" w:ascii="宋体" w:hAnsi="宋体" w:eastAsia="宋体" w:cs="宋体"/>
          <w:b/>
          <w:bCs/>
          <w:sz w:val="21"/>
          <w:szCs w:val="21"/>
          <w:lang w:val="en-US" w:eastAsia="zh-CN"/>
        </w:rPr>
        <w:t>复合粘结剂质量比对球团颗粒性能影响</w:t>
      </w:r>
      <w:bookmarkEnd w:id="57"/>
      <w:bookmarkEnd w:id="58"/>
      <w:bookmarkEnd w:id="59"/>
      <w:bookmarkEnd w:id="60"/>
      <w:bookmarkEnd w:id="61"/>
      <w:bookmarkEnd w:id="62"/>
      <w:bookmarkEnd w:id="63"/>
    </w:p>
    <w:p w14:paraId="1A2E6823">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rPr>
        <w:t>分别配制质量比为0:5、1:4、2:3、3:2、4:1和5:0的组合粘结剂与过孔径0.18 mm下的原料混匀后进行造粒，筛分出2 ~ 4 mm球团，干燥后考察组合粘结剂质量比对产品成粒率、颗粒抗压强度和含水量的影响，结果如图3所示。</w:t>
      </w:r>
    </w:p>
    <w:p w14:paraId="015DCCB4">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rPr>
        <w:t>由图3（a）可知，D/E质量比增大，粘结的球团颗粒平均抗压强先增大后减小，当质量比为3:2时，颗粒抗压强度达到最大值为34.2 N。在组合粘结剂粘结的球团颗粒中，抗压性能来自于E中氧化物胶结作用形成的粘聚力以及D的水化作用。当D/E质量比进一步增大，组合粘结剂质量比大于4:1时，颗粒平均抗压强度大于单独使用 D粘结的颗粒，说明含有E的组合粘结剂对球团抗压强度的提升效果。因此，组合粘结剂质量比为3:2时，粘结的球团抗压性能最佳。</w:t>
      </w:r>
    </w:p>
    <w:p w14:paraId="0682BB88">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rPr>
        <w:t>由图2（a）可知，球团颗粒含水量随D/E质量比增大而逐渐降低，这是因为高含水E用量的降低所致。由图2（b）可知，随着组合粘结剂质量比增加，产品成粒率呈现先增大后略微下降的趋势。因此，</w:t>
      </w:r>
      <w:r>
        <w:rPr>
          <w:rFonts w:hint="eastAsia" w:ascii="宋体" w:hAnsi="宋体" w:eastAsia="宋体" w:cs="宋体"/>
          <w:color w:val="000000" w:themeColor="text1"/>
          <w14:textFill>
            <w14:solidFill>
              <w14:schemeClr w14:val="tx1"/>
            </w14:solidFill>
          </w14:textFill>
        </w:rPr>
        <w:t>组合粘结剂质量比可选择3:2和4:1。</w:t>
      </w:r>
    </w:p>
    <w:p w14:paraId="60611557">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rPr>
        <w:t>综合以上分析，当D/E质量比为3:2时，粘结的球团性能最佳，颗粒平均抗压强度为34.2 N，平均含水量为6.70%，成粒率为84.40%。粉料细度对球团颗粒性能具有一定影响，本文进一步探究不同粉料细度条件下对粉料成粒的影响。</w:t>
      </w:r>
    </w:p>
    <w:p w14:paraId="077C9424">
      <w:pPr>
        <w:spacing w:line="240" w:lineRule="atLeast"/>
        <w:ind w:firstLine="0" w:firstLineChars="0"/>
        <w:jc w:val="center"/>
        <w:rPr>
          <w:rFonts w:cs="Times New Roman"/>
        </w:rPr>
      </w:pPr>
      <w:bookmarkStart w:id="132" w:name="_GoBack"/>
      <w:r>
        <w:rPr>
          <w:rFonts w:cs="Times New Roman"/>
        </w:rPr>
        <w:drawing>
          <wp:inline distT="0" distB="0" distL="0" distR="0">
            <wp:extent cx="2195830" cy="3482340"/>
            <wp:effectExtent l="0" t="0" r="13970" b="3810"/>
            <wp:docPr id="9403077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307712" name="图片 1"/>
                    <pic:cNvPicPr>
                      <a:picLocks noChangeAspect="1"/>
                    </pic:cNvPicPr>
                  </pic:nvPicPr>
                  <pic:blipFill>
                    <a:blip r:embed="rId8"/>
                    <a:stretch>
                      <a:fillRect/>
                    </a:stretch>
                  </pic:blipFill>
                  <pic:spPr>
                    <a:xfrm>
                      <a:off x="0" y="0"/>
                      <a:ext cx="2196000" cy="3482948"/>
                    </a:xfrm>
                    <a:prstGeom prst="rect">
                      <a:avLst/>
                    </a:prstGeom>
                  </pic:spPr>
                </pic:pic>
              </a:graphicData>
            </a:graphic>
          </wp:inline>
        </w:drawing>
      </w:r>
      <w:bookmarkEnd w:id="132"/>
    </w:p>
    <w:p w14:paraId="1545E204">
      <w:pPr>
        <w:pStyle w:val="45"/>
      </w:pPr>
      <w:r>
        <w:rPr>
          <w:rFonts w:hint="eastAsia" w:ascii="宋体" w:hAnsi="宋体" w:eastAsia="宋体" w:cs="宋体"/>
          <w:b/>
          <w:bCs/>
          <w:sz w:val="21"/>
          <w:szCs w:val="21"/>
          <w:lang w:val="en-US" w:eastAsia="zh-CN"/>
        </w:rPr>
        <w:t>图3 组合粘结剂质量比对颗粒性能（a）和成粒率（b）的影响</w:t>
      </w:r>
    </w:p>
    <w:p w14:paraId="723FC06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64" w:name="_Toc132038393"/>
      <w:bookmarkStart w:id="65" w:name="_Toc132561796"/>
      <w:bookmarkStart w:id="66" w:name="_Toc132356602"/>
      <w:bookmarkStart w:id="67" w:name="_Toc132370200"/>
      <w:bookmarkStart w:id="68" w:name="_Toc68690274"/>
      <w:bookmarkStart w:id="69" w:name="_Toc132356476"/>
      <w:bookmarkStart w:id="70" w:name="_Toc132346976"/>
      <w:bookmarkStart w:id="71" w:name="_Toc132531313"/>
      <w:r>
        <w:rPr>
          <w:rFonts w:hint="eastAsia" w:ascii="宋体" w:hAnsi="宋体" w:eastAsia="宋体" w:cs="宋体"/>
          <w:b/>
          <w:bCs/>
          <w:sz w:val="21"/>
          <w:szCs w:val="21"/>
          <w:lang w:val="en-US" w:eastAsia="zh-CN"/>
        </w:rPr>
        <w:t>2.2.2  原料细度对球团颗粒性能的影响</w:t>
      </w:r>
      <w:bookmarkEnd w:id="64"/>
      <w:bookmarkEnd w:id="65"/>
      <w:bookmarkEnd w:id="66"/>
      <w:bookmarkEnd w:id="67"/>
      <w:bookmarkEnd w:id="68"/>
      <w:bookmarkEnd w:id="69"/>
      <w:bookmarkEnd w:id="70"/>
      <w:bookmarkEnd w:id="71"/>
    </w:p>
    <w:p w14:paraId="12C4592E">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rPr>
        <w:t>实验选取D/E质量比为3:2为粘结剂，分别与过孔径为</w:t>
      </w:r>
      <w:bookmarkStart w:id="72" w:name="_Hlk131841548"/>
      <w:r>
        <w:rPr>
          <w:rFonts w:hint="eastAsia" w:ascii="宋体" w:hAnsi="宋体" w:eastAsia="宋体" w:cs="宋体"/>
        </w:rPr>
        <w:t>0.106、0.125、0.150、0.180、0.250 mm</w:t>
      </w:r>
      <w:bookmarkEnd w:id="72"/>
      <w:r>
        <w:rPr>
          <w:rFonts w:hint="eastAsia" w:ascii="宋体" w:hAnsi="宋体" w:eastAsia="宋体" w:cs="宋体"/>
        </w:rPr>
        <w:t>的硫精砂粉料混匀后，进行圆盘造粒，筛分出2 ~ 4 mm的球团，干燥后考察硫精砂原料细度对产品成粒率、颗粒抗压强度以及含水量的影响，实验结果如图4所示。</w:t>
      </w:r>
    </w:p>
    <w:p w14:paraId="119DEAA4">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rPr>
        <w:t>由图4（a）可知，干燥后的硫精砂球团颗粒抗压强度随硫精砂细度的增大呈现先增大后下降的趋势。其中过孔径0.180 mm的硫精砂造粒，球团颗粒抗压强度达到最大值39.09 N。由于原料细度越细，粒径分布范围变窄，并且比表面积增大，同一范围内的粒径量增多形成等径团聚，不利于空隙率的降低，球团相对不密实。随原料粒径增大，粒径范围加宽，比表面积减小。利于小颗粒填充到大颗粒间的缝隙，孔隙率降低，球团粘结密实。但粉料粒径太大时，比表面积降低较多，粘结剂与微粒相互之间作用力减小，球团抗压性能减弱。因此，</w:t>
      </w:r>
      <w:bookmarkStart w:id="73" w:name="_Hlk131841007"/>
      <w:r>
        <w:rPr>
          <w:rFonts w:hint="eastAsia" w:ascii="宋体" w:hAnsi="宋体" w:eastAsia="宋体" w:cs="宋体"/>
        </w:rPr>
        <w:t>适宜硫精砂原料的筛孔径为0.180 mm。</w:t>
      </w:r>
    </w:p>
    <w:bookmarkEnd w:id="73"/>
    <w:p w14:paraId="723F6081">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rPr>
        <w:t>由图4（a）可知，硫精砂粉体球团颗粒中的含水量随粉料细度增大逐渐降低。当细度从0.106 mm增大到0.25 mm时，颗粒含水量从7.49%降为5.47%。这是因为细度越细，比表面积增大，造粒过程中水分更容易渗透到颗粒内部，并且粉体间的接触面积增大，导致粉体间毛细作用和静电作用增强，吸附水分的能力增强。在干燥时，颗粒内部结合水无法快速蒸发出来。</w:t>
      </w:r>
    </w:p>
    <w:p w14:paraId="04662748">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rPr>
        <w:t>由图4（b）可知，原料细度从0.106 mm到0.25 mm，成品成粒率先增大后减小。当细度为0.150 mm时，产品成粒率达到最大值86.64%，这是因为原料越细，比表面积越大，微粒更容易被润湿成核。但是原料细度过小，一方面会导致原料极易粘在圆盘壁面上不随圆盘转动，难以成团聚合，导致成粒率下降；另一方面物料黏性增大，在粘结剂的作用下容易团聚成直径较大的颗粒，粒径不达标也会导致成粒率下降。而随着细度增大，比表面积减小，微粒与粘结剂接触面积减小，造成成核难度增加，成粒率下降。</w:t>
      </w:r>
    </w:p>
    <w:p w14:paraId="5DFDB6B8">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rPr>
        <w:t>基于球团颗粒需满足抗压强度高且含水量低的要求，适宜硫精砂原料的筛孔径为0.180 mm，此时造粒制备的球团颗粒性能最佳，平均抗压强度为39.09 N，平均含水量为5.94%，产品成粒率为85.57%。</w:t>
      </w:r>
    </w:p>
    <w:p w14:paraId="69578835">
      <w:pPr>
        <w:spacing w:line="240" w:lineRule="atLeast"/>
        <w:ind w:firstLine="0" w:firstLineChars="0"/>
        <w:jc w:val="center"/>
        <w:rPr>
          <w:rFonts w:cs="Times New Roman"/>
        </w:rPr>
      </w:pPr>
      <w:r>
        <w:rPr>
          <w:rFonts w:cs="Times New Roman"/>
        </w:rPr>
        <w:drawing>
          <wp:inline distT="0" distB="0" distL="0" distR="0">
            <wp:extent cx="2195830" cy="3505200"/>
            <wp:effectExtent l="0" t="0" r="13970" b="0"/>
            <wp:docPr id="2949291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929170" name="图片 1"/>
                    <pic:cNvPicPr>
                      <a:picLocks noChangeAspect="1"/>
                    </pic:cNvPicPr>
                  </pic:nvPicPr>
                  <pic:blipFill>
                    <a:blip r:embed="rId9"/>
                    <a:stretch>
                      <a:fillRect/>
                    </a:stretch>
                  </pic:blipFill>
                  <pic:spPr>
                    <a:xfrm>
                      <a:off x="0" y="0"/>
                      <a:ext cx="2196000" cy="3505798"/>
                    </a:xfrm>
                    <a:prstGeom prst="rect">
                      <a:avLst/>
                    </a:prstGeom>
                  </pic:spPr>
                </pic:pic>
              </a:graphicData>
            </a:graphic>
          </wp:inline>
        </w:drawing>
      </w:r>
    </w:p>
    <w:p w14:paraId="5970FCE2">
      <w:pPr>
        <w:pStyle w:val="45"/>
      </w:pPr>
      <w:r>
        <w:rPr>
          <w:rFonts w:hint="eastAsia" w:ascii="宋体" w:hAnsi="宋体" w:eastAsia="宋体" w:cs="宋体"/>
          <w:b/>
          <w:bCs/>
          <w:sz w:val="21"/>
          <w:szCs w:val="21"/>
          <w:lang w:val="en-US" w:eastAsia="zh-CN"/>
        </w:rPr>
        <w:t>图4 原料细度对颗粒性能（a）和成粒率（b）的影响</w:t>
      </w:r>
    </w:p>
    <w:p w14:paraId="5EA2525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74" w:name="_Toc132038394"/>
      <w:bookmarkStart w:id="75" w:name="_Toc132346977"/>
      <w:bookmarkStart w:id="76" w:name="_Toc132356603"/>
      <w:bookmarkStart w:id="77" w:name="_Toc132531314"/>
      <w:bookmarkStart w:id="78" w:name="_Toc132370201"/>
      <w:bookmarkStart w:id="79" w:name="_Toc68690275"/>
      <w:bookmarkStart w:id="80" w:name="_Toc132356477"/>
      <w:bookmarkStart w:id="81" w:name="_Toc132561797"/>
      <w:r>
        <w:rPr>
          <w:rFonts w:hint="eastAsia" w:ascii="宋体" w:hAnsi="宋体" w:eastAsia="宋体" w:cs="宋体"/>
          <w:b/>
          <w:bCs/>
          <w:sz w:val="21"/>
          <w:szCs w:val="21"/>
          <w:lang w:val="en-US" w:eastAsia="zh-CN"/>
        </w:rPr>
        <w:t>2.2.3  干燥时间对球团颗粒性能的影响</w:t>
      </w:r>
      <w:bookmarkEnd w:id="74"/>
      <w:bookmarkEnd w:id="75"/>
      <w:bookmarkEnd w:id="76"/>
      <w:bookmarkEnd w:id="77"/>
      <w:bookmarkEnd w:id="78"/>
      <w:bookmarkEnd w:id="79"/>
      <w:bookmarkEnd w:id="80"/>
      <w:bookmarkEnd w:id="81"/>
    </w:p>
    <w:p w14:paraId="143D2D65">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rPr>
        <w:t>实验选取质量比为3:2的D/E为粘结剂与过孔径0.18 mm的原料细度混匀后进行造粒，设定干燥时间分别为30、60、90、120、150 min，考察不同干燥时间对颗粒性能的影响。实验结果如图5所示。</w:t>
      </w:r>
    </w:p>
    <w:p w14:paraId="0A033D1C">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rPr>
        <w:t>由图可知，球团颗粒抗压强度随干燥时间的增大逐渐减小，当干燥时间超过90 min时，样品的抗压强度小于40 N。这是因为D水化作用比较缓慢，干燥时间延长使得失水过多，影响水化作用；干燥时间过长还会导致E过度失水，收缩程度大而开裂，球团抗压强度大大减弱。</w:t>
      </w:r>
    </w:p>
    <w:p w14:paraId="394BFE3D">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rPr>
        <w:t>在降低颗粒产品含水量的同时，使其具备高强度特性，适宜的干燥时间应为90 min，此时球团颗粒性能最佳，</w:t>
      </w:r>
      <w:bookmarkStart w:id="82" w:name="_Hlk131843893"/>
      <w:r>
        <w:rPr>
          <w:rFonts w:hint="eastAsia" w:ascii="宋体" w:hAnsi="宋体" w:eastAsia="宋体" w:cs="宋体"/>
        </w:rPr>
        <w:t>平均抗压强度为39.47 N，平均含水量为5.56%，产品成粒率为85.57%。</w:t>
      </w:r>
    </w:p>
    <w:p w14:paraId="218A245D">
      <w:pPr>
        <w:spacing w:line="240" w:lineRule="atLeast"/>
        <w:ind w:firstLine="0" w:firstLineChars="0"/>
        <w:jc w:val="center"/>
        <w:rPr>
          <w:rFonts w:cs="Times New Roman"/>
        </w:rPr>
      </w:pPr>
      <w:r>
        <w:rPr>
          <w:rFonts w:cs="Times New Roman"/>
        </w:rPr>
        <w:drawing>
          <wp:inline distT="0" distB="0" distL="0" distR="0">
            <wp:extent cx="2195830" cy="1727200"/>
            <wp:effectExtent l="0" t="0" r="13970" b="6350"/>
            <wp:docPr id="11979132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913221" name="图片 1"/>
                    <pic:cNvPicPr>
                      <a:picLocks noChangeAspect="1"/>
                    </pic:cNvPicPr>
                  </pic:nvPicPr>
                  <pic:blipFill>
                    <a:blip r:embed="rId10"/>
                    <a:stretch>
                      <a:fillRect/>
                    </a:stretch>
                  </pic:blipFill>
                  <pic:spPr>
                    <a:xfrm>
                      <a:off x="0" y="0"/>
                      <a:ext cx="2196000" cy="1727816"/>
                    </a:xfrm>
                    <a:prstGeom prst="rect">
                      <a:avLst/>
                    </a:prstGeom>
                  </pic:spPr>
                </pic:pic>
              </a:graphicData>
            </a:graphic>
          </wp:inline>
        </w:drawing>
      </w:r>
    </w:p>
    <w:bookmarkEnd w:id="82"/>
    <w:p w14:paraId="68A4986F">
      <w:pPr>
        <w:pStyle w:val="45"/>
      </w:pPr>
      <w:r>
        <w:rPr>
          <w:rFonts w:hint="eastAsia" w:ascii="宋体" w:hAnsi="宋体" w:eastAsia="宋体" w:cs="宋体"/>
          <w:b/>
          <w:bCs/>
          <w:sz w:val="21"/>
          <w:szCs w:val="21"/>
          <w:lang w:val="en-US" w:eastAsia="zh-CN"/>
        </w:rPr>
        <w:t>图5  干燥时间对颗粒性能的影响</w:t>
      </w:r>
    </w:p>
    <w:p w14:paraId="0D78D06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83" w:name="_Toc132038395"/>
      <w:bookmarkStart w:id="84" w:name="_Toc132561798"/>
      <w:bookmarkStart w:id="85" w:name="_Toc132531315"/>
      <w:bookmarkStart w:id="86" w:name="_Toc132356478"/>
      <w:bookmarkStart w:id="87" w:name="_Toc132370202"/>
      <w:bookmarkStart w:id="88" w:name="_Toc132346978"/>
      <w:bookmarkStart w:id="89" w:name="_Toc132356604"/>
      <w:r>
        <w:rPr>
          <w:rFonts w:hint="eastAsia" w:ascii="宋体" w:hAnsi="宋体" w:eastAsia="宋体" w:cs="宋体"/>
          <w:b/>
          <w:bCs/>
          <w:sz w:val="21"/>
          <w:szCs w:val="21"/>
          <w:lang w:val="en-US" w:eastAsia="zh-CN"/>
        </w:rPr>
        <w:t>2.3  产品</w:t>
      </w:r>
      <w:bookmarkEnd w:id="83"/>
      <w:r>
        <w:rPr>
          <w:rFonts w:hint="eastAsia" w:ascii="宋体" w:hAnsi="宋体" w:eastAsia="宋体" w:cs="宋体"/>
          <w:b/>
          <w:bCs/>
          <w:sz w:val="21"/>
          <w:szCs w:val="21"/>
          <w:lang w:val="en-US" w:eastAsia="zh-CN"/>
        </w:rPr>
        <w:t>成分分析</w:t>
      </w:r>
      <w:bookmarkEnd w:id="84"/>
      <w:bookmarkEnd w:id="85"/>
      <w:bookmarkEnd w:id="86"/>
      <w:bookmarkEnd w:id="87"/>
      <w:bookmarkEnd w:id="88"/>
      <w:bookmarkEnd w:id="89"/>
    </w:p>
    <w:p w14:paraId="6EE0302C">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rPr>
        <w:t>对产品颗粒进行XRF成分测定，结果如表1所示。</w:t>
      </w:r>
    </w:p>
    <w:p w14:paraId="3849AD04">
      <w:pPr>
        <w:pStyle w:val="45"/>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表1 产品颗粒成分含量</w:t>
      </w:r>
    </w:p>
    <w:tbl>
      <w:tblPr>
        <w:tblStyle w:val="48"/>
        <w:tblW w:w="5000" w:type="pct"/>
        <w:tblInd w:w="0" w:type="dxa"/>
        <w:tblBorders>
          <w:top w:val="single" w:color="auto" w:sz="12" w:space="0"/>
          <w:left w:val="none" w:color="auto" w:sz="0" w:space="0"/>
          <w:bottom w:val="single" w:color="auto" w:sz="12"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882"/>
        <w:gridCol w:w="882"/>
        <w:gridCol w:w="882"/>
        <w:gridCol w:w="736"/>
        <w:gridCol w:w="900"/>
        <w:gridCol w:w="1074"/>
        <w:gridCol w:w="882"/>
        <w:gridCol w:w="882"/>
        <w:gridCol w:w="961"/>
        <w:gridCol w:w="867"/>
      </w:tblGrid>
      <w:tr w14:paraId="42AE29AD">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93" w:type="pct"/>
            <w:vAlign w:val="center"/>
          </w:tcPr>
          <w:p w14:paraId="7D7F34D6">
            <w:pPr>
              <w:keepNext/>
              <w:ind w:firstLine="0" w:firstLineChars="0"/>
              <w:jc w:val="center"/>
              <w:rPr>
                <w:rFonts w:cs="Times New Roman"/>
                <w:color w:val="000000"/>
                <w:szCs w:val="21"/>
              </w:rPr>
            </w:pPr>
            <w:r>
              <w:rPr>
                <w:rFonts w:cs="Times New Roman"/>
                <w:color w:val="000000"/>
                <w:szCs w:val="21"/>
              </w:rPr>
              <w:t>组成</w:t>
            </w:r>
          </w:p>
        </w:tc>
        <w:tc>
          <w:tcPr>
            <w:tcW w:w="493" w:type="pct"/>
            <w:vAlign w:val="center"/>
          </w:tcPr>
          <w:p w14:paraId="141AF366">
            <w:pPr>
              <w:keepNext/>
              <w:ind w:firstLine="0" w:firstLineChars="0"/>
              <w:jc w:val="center"/>
              <w:rPr>
                <w:rFonts w:cs="Times New Roman"/>
                <w:color w:val="000000"/>
                <w:szCs w:val="21"/>
              </w:rPr>
            </w:pPr>
            <w:r>
              <w:rPr>
                <w:rFonts w:cs="Times New Roman"/>
                <w:color w:val="000000"/>
                <w:szCs w:val="21"/>
              </w:rPr>
              <w:t>S</w:t>
            </w:r>
          </w:p>
        </w:tc>
        <w:tc>
          <w:tcPr>
            <w:tcW w:w="493" w:type="pct"/>
            <w:vAlign w:val="center"/>
          </w:tcPr>
          <w:p w14:paraId="68F85B0E">
            <w:pPr>
              <w:keepNext/>
              <w:ind w:firstLine="0" w:firstLineChars="0"/>
              <w:jc w:val="center"/>
              <w:rPr>
                <w:rFonts w:cs="Times New Roman"/>
                <w:color w:val="000000"/>
                <w:szCs w:val="21"/>
              </w:rPr>
            </w:pPr>
            <w:r>
              <w:rPr>
                <w:rFonts w:cs="Times New Roman"/>
                <w:color w:val="000000"/>
                <w:szCs w:val="21"/>
              </w:rPr>
              <w:t>Fe</w:t>
            </w:r>
          </w:p>
        </w:tc>
        <w:tc>
          <w:tcPr>
            <w:tcW w:w="411" w:type="pct"/>
            <w:vAlign w:val="center"/>
          </w:tcPr>
          <w:p w14:paraId="1ACA2179">
            <w:pPr>
              <w:keepNext/>
              <w:ind w:firstLine="0" w:firstLineChars="0"/>
              <w:jc w:val="center"/>
              <w:rPr>
                <w:rFonts w:cs="Times New Roman"/>
                <w:color w:val="000000"/>
                <w:szCs w:val="21"/>
              </w:rPr>
            </w:pPr>
            <w:r>
              <w:rPr>
                <w:rFonts w:cs="Times New Roman"/>
                <w:color w:val="000000"/>
                <w:szCs w:val="21"/>
              </w:rPr>
              <w:t>Si</w:t>
            </w:r>
          </w:p>
        </w:tc>
        <w:tc>
          <w:tcPr>
            <w:tcW w:w="503" w:type="pct"/>
            <w:vAlign w:val="center"/>
          </w:tcPr>
          <w:p w14:paraId="5772DC52">
            <w:pPr>
              <w:keepNext/>
              <w:ind w:firstLine="0" w:firstLineChars="0"/>
              <w:jc w:val="center"/>
              <w:rPr>
                <w:rFonts w:cs="Times New Roman"/>
                <w:color w:val="000000"/>
                <w:szCs w:val="21"/>
              </w:rPr>
            </w:pPr>
            <w:r>
              <w:rPr>
                <w:rFonts w:cs="Times New Roman"/>
                <w:color w:val="000000"/>
                <w:szCs w:val="21"/>
              </w:rPr>
              <w:t>A</w:t>
            </w:r>
            <w:r>
              <w:rPr>
                <w:rFonts w:hint="eastAsia" w:cs="Times New Roman"/>
                <w:color w:val="000000"/>
                <w:szCs w:val="21"/>
              </w:rPr>
              <w:t>s</w:t>
            </w:r>
          </w:p>
        </w:tc>
        <w:tc>
          <w:tcPr>
            <w:tcW w:w="600" w:type="pct"/>
            <w:vAlign w:val="center"/>
          </w:tcPr>
          <w:p w14:paraId="6C7B2CEC">
            <w:pPr>
              <w:keepNext/>
              <w:ind w:firstLine="0" w:firstLineChars="0"/>
              <w:jc w:val="center"/>
              <w:rPr>
                <w:rFonts w:cs="Times New Roman"/>
                <w:color w:val="000000"/>
                <w:szCs w:val="21"/>
              </w:rPr>
            </w:pPr>
            <w:r>
              <w:rPr>
                <w:rFonts w:cs="Times New Roman"/>
                <w:color w:val="000000"/>
                <w:szCs w:val="21"/>
              </w:rPr>
              <w:t>F</w:t>
            </w:r>
          </w:p>
        </w:tc>
        <w:tc>
          <w:tcPr>
            <w:tcW w:w="493" w:type="pct"/>
            <w:vAlign w:val="center"/>
          </w:tcPr>
          <w:p w14:paraId="4C775298">
            <w:pPr>
              <w:keepNext/>
              <w:ind w:firstLine="0" w:firstLineChars="0"/>
              <w:jc w:val="center"/>
              <w:rPr>
                <w:rFonts w:cs="Times New Roman"/>
                <w:color w:val="000000"/>
                <w:szCs w:val="21"/>
              </w:rPr>
            </w:pPr>
            <w:r>
              <w:rPr>
                <w:rFonts w:cs="Times New Roman"/>
                <w:color w:val="000000"/>
                <w:szCs w:val="21"/>
              </w:rPr>
              <w:t>Pb</w:t>
            </w:r>
          </w:p>
        </w:tc>
        <w:tc>
          <w:tcPr>
            <w:tcW w:w="493" w:type="pct"/>
            <w:vAlign w:val="center"/>
          </w:tcPr>
          <w:p w14:paraId="18A86A9C">
            <w:pPr>
              <w:keepNext/>
              <w:ind w:firstLine="0" w:firstLineChars="0"/>
              <w:jc w:val="center"/>
              <w:rPr>
                <w:rFonts w:cs="Times New Roman"/>
                <w:color w:val="000000"/>
                <w:szCs w:val="21"/>
              </w:rPr>
            </w:pPr>
            <w:r>
              <w:rPr>
                <w:rFonts w:cs="Times New Roman"/>
                <w:color w:val="000000"/>
                <w:szCs w:val="21"/>
              </w:rPr>
              <w:t>Zn</w:t>
            </w:r>
          </w:p>
        </w:tc>
        <w:tc>
          <w:tcPr>
            <w:tcW w:w="537" w:type="pct"/>
            <w:vAlign w:val="center"/>
          </w:tcPr>
          <w:p w14:paraId="100EB0E6">
            <w:pPr>
              <w:keepNext/>
              <w:ind w:firstLine="0" w:firstLineChars="0"/>
              <w:jc w:val="center"/>
              <w:rPr>
                <w:rFonts w:cs="Times New Roman"/>
                <w:color w:val="000000"/>
                <w:szCs w:val="21"/>
              </w:rPr>
            </w:pPr>
            <w:r>
              <w:rPr>
                <w:rFonts w:cs="Times New Roman"/>
                <w:color w:val="000000"/>
                <w:szCs w:val="21"/>
              </w:rPr>
              <w:t>C</w:t>
            </w:r>
          </w:p>
        </w:tc>
        <w:tc>
          <w:tcPr>
            <w:tcW w:w="484" w:type="pct"/>
            <w:vAlign w:val="center"/>
          </w:tcPr>
          <w:p w14:paraId="1EA5334F">
            <w:pPr>
              <w:keepNext/>
              <w:ind w:firstLine="0" w:firstLineChars="0"/>
              <w:jc w:val="center"/>
              <w:rPr>
                <w:rFonts w:cs="Times New Roman"/>
                <w:color w:val="000000"/>
                <w:szCs w:val="21"/>
              </w:rPr>
            </w:pPr>
            <w:r>
              <w:rPr>
                <w:rFonts w:cs="Times New Roman"/>
                <w:color w:val="000000"/>
                <w:szCs w:val="21"/>
              </w:rPr>
              <w:t>其他</w:t>
            </w:r>
          </w:p>
        </w:tc>
      </w:tr>
      <w:tr w14:paraId="2E4456C8">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93" w:type="pct"/>
            <w:vAlign w:val="center"/>
          </w:tcPr>
          <w:p w14:paraId="2E81B2BB">
            <w:pPr>
              <w:keepNext/>
              <w:ind w:firstLine="0" w:firstLineChars="0"/>
              <w:jc w:val="center"/>
              <w:rPr>
                <w:rFonts w:cs="Times New Roman"/>
                <w:color w:val="000000"/>
                <w:szCs w:val="21"/>
              </w:rPr>
            </w:pPr>
            <w:r>
              <w:rPr>
                <w:rFonts w:cs="Times New Roman"/>
                <w:color w:val="000000"/>
                <w:szCs w:val="21"/>
              </w:rPr>
              <w:t>Wt/%</w:t>
            </w:r>
          </w:p>
        </w:tc>
        <w:tc>
          <w:tcPr>
            <w:tcW w:w="493" w:type="pct"/>
            <w:vAlign w:val="center"/>
          </w:tcPr>
          <w:p w14:paraId="40B28474">
            <w:pPr>
              <w:keepNext/>
              <w:ind w:firstLine="0" w:firstLineChars="0"/>
              <w:jc w:val="center"/>
              <w:rPr>
                <w:rFonts w:cs="Times New Roman"/>
                <w:color w:val="000000"/>
                <w:szCs w:val="21"/>
              </w:rPr>
            </w:pPr>
            <w:r>
              <w:rPr>
                <w:rFonts w:cs="Times New Roman"/>
                <w:color w:val="000000"/>
                <w:szCs w:val="21"/>
              </w:rPr>
              <w:t>59.14</w:t>
            </w:r>
          </w:p>
        </w:tc>
        <w:tc>
          <w:tcPr>
            <w:tcW w:w="493" w:type="pct"/>
            <w:vAlign w:val="center"/>
          </w:tcPr>
          <w:p w14:paraId="1B902BC9">
            <w:pPr>
              <w:keepNext/>
              <w:ind w:firstLine="0" w:firstLineChars="0"/>
              <w:jc w:val="center"/>
              <w:rPr>
                <w:rFonts w:cs="Times New Roman"/>
                <w:color w:val="000000"/>
                <w:szCs w:val="21"/>
              </w:rPr>
            </w:pPr>
            <w:r>
              <w:rPr>
                <w:rFonts w:cs="Times New Roman"/>
                <w:color w:val="000000"/>
                <w:szCs w:val="21"/>
              </w:rPr>
              <w:t>32.96</w:t>
            </w:r>
          </w:p>
        </w:tc>
        <w:tc>
          <w:tcPr>
            <w:tcW w:w="411" w:type="pct"/>
            <w:vAlign w:val="center"/>
          </w:tcPr>
          <w:p w14:paraId="04EC891A">
            <w:pPr>
              <w:keepNext/>
              <w:ind w:firstLine="0" w:firstLineChars="0"/>
              <w:jc w:val="center"/>
              <w:rPr>
                <w:rFonts w:cs="Times New Roman"/>
                <w:color w:val="000000"/>
                <w:szCs w:val="21"/>
              </w:rPr>
            </w:pPr>
            <w:r>
              <w:rPr>
                <w:rFonts w:cs="Times New Roman"/>
                <w:color w:val="000000"/>
                <w:szCs w:val="21"/>
              </w:rPr>
              <w:t>1.11</w:t>
            </w:r>
          </w:p>
        </w:tc>
        <w:tc>
          <w:tcPr>
            <w:tcW w:w="503" w:type="pct"/>
            <w:vAlign w:val="center"/>
          </w:tcPr>
          <w:p w14:paraId="01545E13">
            <w:pPr>
              <w:keepNext/>
              <w:ind w:firstLine="0" w:firstLineChars="0"/>
              <w:jc w:val="center"/>
              <w:rPr>
                <w:rFonts w:cs="Times New Roman"/>
                <w:color w:val="000000"/>
                <w:szCs w:val="21"/>
              </w:rPr>
            </w:pPr>
            <w:r>
              <w:rPr>
                <w:rFonts w:cs="Times New Roman"/>
                <w:color w:val="000000"/>
                <w:szCs w:val="21"/>
              </w:rPr>
              <w:t>0.0043</w:t>
            </w:r>
          </w:p>
        </w:tc>
        <w:tc>
          <w:tcPr>
            <w:tcW w:w="600" w:type="pct"/>
            <w:vAlign w:val="center"/>
          </w:tcPr>
          <w:p w14:paraId="1CA9B826">
            <w:pPr>
              <w:keepNext/>
              <w:ind w:firstLine="0" w:firstLineChars="0"/>
              <w:jc w:val="center"/>
              <w:rPr>
                <w:rFonts w:cs="Times New Roman"/>
                <w:color w:val="000000"/>
                <w:szCs w:val="21"/>
              </w:rPr>
            </w:pPr>
            <w:r>
              <w:rPr>
                <w:rFonts w:cs="Times New Roman"/>
                <w:color w:val="000000"/>
                <w:szCs w:val="21"/>
              </w:rPr>
              <w:t>0.000092</w:t>
            </w:r>
          </w:p>
        </w:tc>
        <w:tc>
          <w:tcPr>
            <w:tcW w:w="493" w:type="pct"/>
            <w:vAlign w:val="center"/>
          </w:tcPr>
          <w:p w14:paraId="360A5AF4">
            <w:pPr>
              <w:keepNext/>
              <w:ind w:firstLine="0" w:firstLineChars="0"/>
              <w:jc w:val="center"/>
              <w:rPr>
                <w:rFonts w:cs="Times New Roman"/>
                <w:color w:val="000000"/>
                <w:szCs w:val="21"/>
              </w:rPr>
            </w:pPr>
            <w:r>
              <w:rPr>
                <w:rFonts w:cs="Times New Roman"/>
                <w:color w:val="000000"/>
                <w:szCs w:val="21"/>
              </w:rPr>
              <w:t>0.050</w:t>
            </w:r>
          </w:p>
        </w:tc>
        <w:tc>
          <w:tcPr>
            <w:tcW w:w="493" w:type="pct"/>
            <w:vAlign w:val="center"/>
          </w:tcPr>
          <w:p w14:paraId="46501D1E">
            <w:pPr>
              <w:keepNext/>
              <w:ind w:firstLine="0" w:firstLineChars="0"/>
              <w:jc w:val="center"/>
              <w:rPr>
                <w:rFonts w:cs="Times New Roman"/>
                <w:color w:val="000000"/>
                <w:szCs w:val="21"/>
              </w:rPr>
            </w:pPr>
            <w:r>
              <w:rPr>
                <w:rFonts w:cs="Times New Roman"/>
                <w:color w:val="000000"/>
                <w:szCs w:val="21"/>
              </w:rPr>
              <w:t>0.051</w:t>
            </w:r>
          </w:p>
        </w:tc>
        <w:tc>
          <w:tcPr>
            <w:tcW w:w="537" w:type="pct"/>
            <w:vAlign w:val="center"/>
          </w:tcPr>
          <w:p w14:paraId="0A79DB39">
            <w:pPr>
              <w:keepNext/>
              <w:ind w:firstLine="0" w:firstLineChars="0"/>
              <w:jc w:val="center"/>
              <w:rPr>
                <w:rFonts w:cs="Times New Roman"/>
                <w:color w:val="000000"/>
                <w:szCs w:val="21"/>
              </w:rPr>
            </w:pPr>
            <w:r>
              <w:rPr>
                <w:rFonts w:cs="Times New Roman"/>
                <w:color w:val="000000"/>
                <w:szCs w:val="21"/>
              </w:rPr>
              <w:t>0.00016</w:t>
            </w:r>
          </w:p>
        </w:tc>
        <w:tc>
          <w:tcPr>
            <w:tcW w:w="484" w:type="pct"/>
            <w:vAlign w:val="center"/>
          </w:tcPr>
          <w:p w14:paraId="7FDBCC94">
            <w:pPr>
              <w:keepNext/>
              <w:ind w:firstLine="0" w:firstLineChars="0"/>
              <w:jc w:val="center"/>
              <w:rPr>
                <w:rFonts w:cs="Times New Roman"/>
                <w:color w:val="000000"/>
                <w:szCs w:val="21"/>
              </w:rPr>
            </w:pPr>
            <w:r>
              <w:rPr>
                <w:rFonts w:cs="Times New Roman"/>
                <w:color w:val="000000"/>
                <w:szCs w:val="21"/>
              </w:rPr>
              <w:t>6.68</w:t>
            </w:r>
          </w:p>
        </w:tc>
      </w:tr>
    </w:tbl>
    <w:p w14:paraId="0EC20ACE">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bookmarkStart w:id="90" w:name="_Hlk132107180"/>
      <w:r>
        <w:rPr>
          <w:rFonts w:hint="eastAsia" w:ascii="宋体" w:hAnsi="宋体" w:eastAsia="宋体" w:cs="宋体"/>
        </w:rPr>
        <w:t>颗粒产品主要含有S和Fe，含量分别为59.14%和32.96%，其中杂质较少，重金属含量均远低于表1中硫精矿产品中的标准，符合行业标准硫精矿产品中优等品Ι的要求。</w:t>
      </w:r>
    </w:p>
    <w:bookmarkEnd w:id="90"/>
    <w:p w14:paraId="452533A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91" w:name="_Toc132038397"/>
      <w:bookmarkStart w:id="92" w:name="_Toc132370203"/>
      <w:bookmarkStart w:id="93" w:name="_Toc132346979"/>
      <w:bookmarkStart w:id="94" w:name="_Toc132356605"/>
      <w:bookmarkStart w:id="95" w:name="_Toc132561799"/>
      <w:bookmarkStart w:id="96" w:name="_Toc132356479"/>
      <w:bookmarkStart w:id="97" w:name="_Toc132531316"/>
      <w:r>
        <w:rPr>
          <w:rFonts w:hint="eastAsia" w:ascii="宋体" w:hAnsi="宋体" w:eastAsia="宋体" w:cs="宋体"/>
          <w:b/>
          <w:bCs/>
          <w:sz w:val="21"/>
          <w:szCs w:val="21"/>
          <w:lang w:val="en-US" w:eastAsia="zh-CN"/>
        </w:rPr>
        <w:t>2.4  最佳工艺</w:t>
      </w:r>
      <w:bookmarkEnd w:id="91"/>
      <w:r>
        <w:rPr>
          <w:rFonts w:hint="eastAsia" w:ascii="宋体" w:hAnsi="宋体" w:eastAsia="宋体" w:cs="宋体"/>
          <w:b/>
          <w:bCs/>
          <w:sz w:val="21"/>
          <w:szCs w:val="21"/>
          <w:lang w:val="en-US" w:eastAsia="zh-CN"/>
        </w:rPr>
        <w:t>条件</w:t>
      </w:r>
      <w:bookmarkEnd w:id="92"/>
      <w:bookmarkEnd w:id="93"/>
      <w:bookmarkEnd w:id="94"/>
      <w:bookmarkEnd w:id="95"/>
      <w:bookmarkEnd w:id="96"/>
      <w:bookmarkEnd w:id="97"/>
    </w:p>
    <w:p w14:paraId="3F3AD3E6">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rPr>
        <w:t>综合上述分析结果，硫精砂粉体制备球团颗粒的最佳工艺条件为： D/E最佳质量比为3:2，组合粘结剂添加方式为与原料预先干混，干燥时间为90 min。干燥后的颗粒平均抗压强度为39.47 N，平均含水量为5.56%，产品成粒率为85.57%，具备高强度、含水量低的特性。</w:t>
      </w:r>
      <w:bookmarkStart w:id="98" w:name="_Hlk132107269"/>
      <w:r>
        <w:rPr>
          <w:rFonts w:hint="eastAsia" w:ascii="宋体" w:hAnsi="宋体" w:eastAsia="宋体" w:cs="宋体"/>
        </w:rPr>
        <w:t>产品颗粒中S和Fe含量分别为59.14%和32.96%，重金属含量均远低于中硫精矿产品中的标准，符合硫精矿产品中的优等品Ι要求。</w:t>
      </w:r>
    </w:p>
    <w:p w14:paraId="4EDFF6AB">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rPr>
        <w:t>从图6最佳造粒工艺条件制备下的硫精砂颗粒照片中可以看出，产品具有规则的圆球形状，粒径比较均匀，大多数颗粒粒径在2 ~ 4 mm范围内。</w:t>
      </w:r>
    </w:p>
    <w:p w14:paraId="0106EF58">
      <w:pPr>
        <w:spacing w:before="120" w:line="240" w:lineRule="atLeast"/>
        <w:ind w:firstLine="0" w:firstLineChars="0"/>
        <w:jc w:val="center"/>
        <w:rPr>
          <w:rFonts w:cs="Times New Roman"/>
        </w:rPr>
      </w:pPr>
      <w:r>
        <w:rPr>
          <w:rFonts w:cs="Times New Roman"/>
        </w:rPr>
        <w:drawing>
          <wp:inline distT="0" distB="0" distL="0" distR="0">
            <wp:extent cx="1439545" cy="1409700"/>
            <wp:effectExtent l="0" t="0" r="8255" b="0"/>
            <wp:docPr id="1193" name="图片 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 name="图片 119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440000" cy="1410059"/>
                    </a:xfrm>
                    <a:prstGeom prst="rect">
                      <a:avLst/>
                    </a:prstGeom>
                    <a:noFill/>
                  </pic:spPr>
                </pic:pic>
              </a:graphicData>
            </a:graphic>
          </wp:inline>
        </w:drawing>
      </w:r>
    </w:p>
    <w:p w14:paraId="0218A1B2">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图6 产品外观展示</w:t>
      </w:r>
    </w:p>
    <w:bookmarkEnd w:id="98"/>
    <w:p w14:paraId="40CB6E2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99" w:name="_Toc132370204"/>
      <w:bookmarkStart w:id="100" w:name="_Toc132356480"/>
      <w:bookmarkStart w:id="101" w:name="_Toc132038398"/>
      <w:bookmarkStart w:id="102" w:name="_Toc132356606"/>
      <w:bookmarkStart w:id="103" w:name="_Toc132561800"/>
      <w:bookmarkStart w:id="104" w:name="_Toc132346980"/>
      <w:bookmarkStart w:id="105" w:name="_Toc132531317"/>
      <w:r>
        <w:rPr>
          <w:rFonts w:hint="eastAsia" w:ascii="宋体" w:hAnsi="宋体" w:eastAsia="宋体" w:cs="宋体"/>
          <w:b/>
          <w:bCs/>
          <w:sz w:val="21"/>
          <w:szCs w:val="21"/>
          <w:lang w:val="en-US" w:eastAsia="zh-CN"/>
        </w:rPr>
        <w:t>2.5  硫精砂颗粒产品性能与表征</w:t>
      </w:r>
      <w:bookmarkEnd w:id="99"/>
      <w:bookmarkEnd w:id="100"/>
      <w:bookmarkEnd w:id="101"/>
      <w:bookmarkEnd w:id="102"/>
      <w:bookmarkEnd w:id="103"/>
      <w:bookmarkEnd w:id="104"/>
      <w:bookmarkEnd w:id="105"/>
    </w:p>
    <w:p w14:paraId="574E38D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06" w:name="_Toc132038399"/>
      <w:bookmarkStart w:id="107" w:name="_Toc132561801"/>
      <w:bookmarkStart w:id="108" w:name="_Toc132356481"/>
      <w:bookmarkStart w:id="109" w:name="_Toc132370205"/>
      <w:bookmarkStart w:id="110" w:name="_Toc132356607"/>
      <w:bookmarkStart w:id="111" w:name="_Toc132346981"/>
      <w:bookmarkStart w:id="112" w:name="_Toc132531318"/>
      <w:r>
        <w:rPr>
          <w:rFonts w:hint="eastAsia" w:ascii="宋体" w:hAnsi="宋体" w:eastAsia="宋体" w:cs="宋体"/>
          <w:b/>
          <w:bCs/>
          <w:sz w:val="21"/>
          <w:szCs w:val="21"/>
          <w:lang w:val="en-US" w:eastAsia="zh-CN"/>
        </w:rPr>
        <w:t>2.5.1  SEM</w:t>
      </w:r>
      <w:bookmarkEnd w:id="106"/>
      <w:bookmarkEnd w:id="107"/>
      <w:bookmarkEnd w:id="108"/>
      <w:bookmarkEnd w:id="109"/>
      <w:bookmarkEnd w:id="110"/>
      <w:bookmarkEnd w:id="111"/>
      <w:bookmarkEnd w:id="112"/>
      <w:r>
        <w:rPr>
          <w:rFonts w:hint="eastAsia" w:ascii="宋体" w:hAnsi="宋体" w:eastAsia="宋体" w:cs="宋体"/>
          <w:b/>
          <w:bCs/>
          <w:sz w:val="21"/>
          <w:szCs w:val="21"/>
          <w:lang w:val="en-US" w:eastAsia="zh-CN"/>
        </w:rPr>
        <w:t>结果</w:t>
      </w:r>
    </w:p>
    <w:p w14:paraId="6EE67873">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rPr>
        <w:t>图7为最佳工艺条件下所制备的硫精砂球团样品的相貌结果。可以看到片状硫精砂粉原料和粘结剂（D/E）粉体紧密相连，形成坚实的球团结构，并且硫精砂粉体和粘结剂之间没有明显的物料界限，相互均匀混合。这种紧密填充的结构降低硫精砂微粒间的空隙，使得球团结构密实稳定，颗粒具有好的抗压性能。</w:t>
      </w:r>
    </w:p>
    <w:p w14:paraId="1AA7BB68">
      <w:pPr>
        <w:spacing w:line="240" w:lineRule="atLeast"/>
        <w:ind w:firstLine="0" w:firstLineChars="0"/>
        <w:jc w:val="center"/>
        <w:rPr>
          <w:rFonts w:cs="Times New Roman"/>
        </w:rPr>
      </w:pPr>
      <w:r>
        <w:rPr>
          <w:rFonts w:cs="Times New Roman"/>
        </w:rPr>
        <w:drawing>
          <wp:inline distT="0" distB="0" distL="0" distR="0">
            <wp:extent cx="2077085" cy="1655445"/>
            <wp:effectExtent l="0" t="0" r="18415" b="190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077714" cy="1656000"/>
                    </a:xfrm>
                    <a:prstGeom prst="rect">
                      <a:avLst/>
                    </a:prstGeom>
                    <a:noFill/>
                  </pic:spPr>
                </pic:pic>
              </a:graphicData>
            </a:graphic>
          </wp:inline>
        </w:drawing>
      </w:r>
    </w:p>
    <w:p w14:paraId="2FCD405A">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图7 SEM结果</w:t>
      </w:r>
    </w:p>
    <w:p w14:paraId="29711EE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13" w:name="_Toc132038400"/>
      <w:bookmarkStart w:id="114" w:name="_Toc132346982"/>
      <w:bookmarkStart w:id="115" w:name="_Toc132531319"/>
      <w:bookmarkStart w:id="116" w:name="_Toc132356608"/>
      <w:bookmarkStart w:id="117" w:name="_Toc132561802"/>
      <w:bookmarkStart w:id="118" w:name="_Toc132370206"/>
      <w:bookmarkStart w:id="119" w:name="_Toc132356482"/>
      <w:r>
        <w:rPr>
          <w:rFonts w:hint="eastAsia" w:ascii="宋体" w:hAnsi="宋体" w:eastAsia="宋体" w:cs="宋体"/>
          <w:b/>
          <w:bCs/>
          <w:sz w:val="21"/>
          <w:szCs w:val="21"/>
          <w:lang w:val="en-US" w:eastAsia="zh-CN"/>
        </w:rPr>
        <w:t>2.5.2  FT-IR和XRD</w:t>
      </w:r>
      <w:bookmarkEnd w:id="113"/>
      <w:r>
        <w:rPr>
          <w:rFonts w:hint="eastAsia" w:ascii="宋体" w:hAnsi="宋体" w:eastAsia="宋体" w:cs="宋体"/>
          <w:b/>
          <w:bCs/>
          <w:sz w:val="21"/>
          <w:szCs w:val="21"/>
          <w:lang w:val="en-US" w:eastAsia="zh-CN"/>
        </w:rPr>
        <w:t>结果</w:t>
      </w:r>
      <w:bookmarkEnd w:id="114"/>
      <w:bookmarkEnd w:id="115"/>
      <w:bookmarkEnd w:id="116"/>
      <w:bookmarkEnd w:id="117"/>
      <w:bookmarkEnd w:id="118"/>
      <w:bookmarkEnd w:id="119"/>
    </w:p>
    <w:p w14:paraId="73BABADC">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rPr>
        <w:t>为了分析粉体原料与粘结剂之间的作用方式，对最佳工艺条件下制备的硫精砂球团颗粒进行FT-IR和XRD表征，并与原料和添加剂进行对比分析，结果如图8所示。</w:t>
      </w:r>
    </w:p>
    <w:p w14:paraId="5D9F864D">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rPr>
        <w:t>在红外谱图中，E在3100-3500 cm</w:t>
      </w:r>
      <w:r>
        <w:rPr>
          <w:rFonts w:hint="eastAsia" w:ascii="宋体" w:hAnsi="宋体" w:eastAsia="宋体" w:cs="宋体"/>
          <w:vertAlign w:val="superscript"/>
        </w:rPr>
        <w:t>-1</w:t>
      </w:r>
      <w:r>
        <w:rPr>
          <w:rFonts w:hint="eastAsia" w:ascii="宋体" w:hAnsi="宋体" w:eastAsia="宋体" w:cs="宋体"/>
        </w:rPr>
        <w:t>处出现O-H伸缩振动吸收峰，表明结构中存在结晶水</w:t>
      </w:r>
      <w:r>
        <w:rPr>
          <w:rFonts w:hint="eastAsia" w:ascii="宋体" w:hAnsi="宋体" w:eastAsia="宋体" w:cs="宋体"/>
          <w:vertAlign w:val="superscript"/>
        </w:rPr>
        <w:t>[12-13]</w:t>
      </w:r>
      <w:r>
        <w:rPr>
          <w:rFonts w:hint="eastAsia" w:ascii="宋体" w:hAnsi="宋体" w:eastAsia="宋体" w:cs="宋体"/>
        </w:rPr>
        <w:t>；在1645 cm</w:t>
      </w:r>
      <w:r>
        <w:rPr>
          <w:rFonts w:hint="eastAsia" w:ascii="宋体" w:hAnsi="宋体" w:eastAsia="宋体" w:cs="宋体"/>
          <w:vertAlign w:val="superscript"/>
        </w:rPr>
        <w:t>-1</w:t>
      </w:r>
      <w:r>
        <w:rPr>
          <w:rFonts w:hint="eastAsia" w:ascii="宋体" w:hAnsi="宋体" w:eastAsia="宋体" w:cs="宋体"/>
        </w:rPr>
        <w:t>处的C=O伸缩振动吸收峰</w:t>
      </w:r>
      <w:r>
        <w:rPr>
          <w:rFonts w:hint="eastAsia" w:ascii="宋体" w:hAnsi="宋体" w:eastAsia="宋体" w:cs="宋体"/>
          <w:vertAlign w:val="superscript"/>
        </w:rPr>
        <w:t>[14]</w:t>
      </w:r>
      <w:r>
        <w:rPr>
          <w:rFonts w:hint="eastAsia" w:ascii="宋体" w:hAnsi="宋体" w:eastAsia="宋体" w:cs="宋体"/>
        </w:rPr>
        <w:t>，主要是由于E中存在的有机物质产生；在450-800 cm</w:t>
      </w:r>
      <w:r>
        <w:rPr>
          <w:rFonts w:hint="eastAsia" w:ascii="宋体" w:hAnsi="宋体" w:eastAsia="宋体" w:cs="宋体"/>
          <w:vertAlign w:val="superscript"/>
        </w:rPr>
        <w:t>-1</w:t>
      </w:r>
      <w:r>
        <w:rPr>
          <w:rFonts w:hint="eastAsia" w:ascii="宋体" w:hAnsi="宋体" w:eastAsia="宋体" w:cs="宋体"/>
        </w:rPr>
        <w:t>处的Si-O-Si拉伸振动吸收峰</w:t>
      </w:r>
      <w:r>
        <w:rPr>
          <w:rFonts w:hint="eastAsia" w:ascii="宋体" w:hAnsi="宋体" w:eastAsia="宋体" w:cs="宋体"/>
          <w:vertAlign w:val="superscript"/>
        </w:rPr>
        <w:t>[15]</w:t>
      </w:r>
      <w:r>
        <w:rPr>
          <w:rFonts w:hint="eastAsia" w:ascii="宋体" w:hAnsi="宋体" w:eastAsia="宋体" w:cs="宋体"/>
        </w:rPr>
        <w:t>。D谱图中，1120 cm</w:t>
      </w:r>
      <w:r>
        <w:rPr>
          <w:rFonts w:hint="eastAsia" w:ascii="宋体" w:hAnsi="宋体" w:eastAsia="宋体" w:cs="宋体"/>
          <w:vertAlign w:val="superscript"/>
        </w:rPr>
        <w:t>-1</w:t>
      </w:r>
      <w:r>
        <w:rPr>
          <w:rFonts w:hint="eastAsia" w:ascii="宋体" w:hAnsi="宋体" w:eastAsia="宋体" w:cs="宋体"/>
        </w:rPr>
        <w:t>处的Si-O-Si对称伸缩振动吸收峰以及896 cm</w:t>
      </w:r>
      <w:r>
        <w:rPr>
          <w:rFonts w:hint="eastAsia" w:ascii="宋体" w:hAnsi="宋体" w:eastAsia="宋体" w:cs="宋体"/>
          <w:vertAlign w:val="superscript"/>
        </w:rPr>
        <w:t>-1</w:t>
      </w:r>
      <w:r>
        <w:rPr>
          <w:rFonts w:hint="eastAsia" w:ascii="宋体" w:hAnsi="宋体" w:eastAsia="宋体" w:cs="宋体"/>
        </w:rPr>
        <w:t>处的Si-O-Si非对称伸缩振动吸收峰</w:t>
      </w:r>
      <w:r>
        <w:rPr>
          <w:rFonts w:hint="eastAsia" w:ascii="宋体" w:hAnsi="宋体" w:eastAsia="宋体" w:cs="宋体"/>
          <w:vertAlign w:val="superscript"/>
        </w:rPr>
        <w:t>[16]</w:t>
      </w:r>
      <w:r>
        <w:rPr>
          <w:rFonts w:hint="eastAsia" w:ascii="宋体" w:hAnsi="宋体" w:eastAsia="宋体" w:cs="宋体"/>
        </w:rPr>
        <w:t>，是由硅酸盐矿物中SiO</w:t>
      </w:r>
      <w:r>
        <w:rPr>
          <w:rFonts w:hint="eastAsia" w:ascii="宋体" w:hAnsi="宋体" w:eastAsia="宋体" w:cs="宋体"/>
          <w:vertAlign w:val="subscript"/>
        </w:rPr>
        <w:t>4</w:t>
      </w:r>
      <w:r>
        <w:rPr>
          <w:rFonts w:hint="eastAsia" w:ascii="宋体" w:hAnsi="宋体" w:eastAsia="宋体" w:cs="宋体"/>
        </w:rPr>
        <w:t>四面体单元的振动所致：400-700 cm</w:t>
      </w:r>
      <w:r>
        <w:rPr>
          <w:rFonts w:hint="eastAsia" w:ascii="宋体" w:hAnsi="宋体" w:eastAsia="宋体" w:cs="宋体"/>
          <w:vertAlign w:val="superscript"/>
        </w:rPr>
        <w:t>-1</w:t>
      </w:r>
      <w:r>
        <w:rPr>
          <w:rFonts w:hint="eastAsia" w:ascii="宋体" w:hAnsi="宋体" w:eastAsia="宋体" w:cs="宋体"/>
        </w:rPr>
        <w:t>处的振动吸收峰主要是由钙镁铝铁等离子体离子的振动所致</w:t>
      </w:r>
      <w:r>
        <w:rPr>
          <w:rFonts w:hint="eastAsia" w:ascii="宋体" w:hAnsi="宋体" w:eastAsia="宋体" w:cs="宋体"/>
          <w:vertAlign w:val="superscript"/>
        </w:rPr>
        <w:t>[17-18]</w:t>
      </w:r>
      <w:r>
        <w:rPr>
          <w:rFonts w:hint="eastAsia" w:ascii="宋体" w:hAnsi="宋体" w:eastAsia="宋体" w:cs="宋体"/>
        </w:rPr>
        <w:t>。</w:t>
      </w:r>
    </w:p>
    <w:p w14:paraId="4BF025E4">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rPr>
      </w:pPr>
      <w:r>
        <w:rPr>
          <w:rFonts w:hint="eastAsia" w:ascii="宋体" w:hAnsi="宋体" w:eastAsia="宋体" w:cs="宋体"/>
        </w:rPr>
        <w:t>对比最佳硫精砂球团颗粒和粉体原料红外谱图，发现样品在1621、598、521、473 cm</w:t>
      </w:r>
      <w:r>
        <w:rPr>
          <w:rFonts w:hint="eastAsia" w:ascii="宋体" w:hAnsi="宋体" w:eastAsia="宋体" w:cs="宋体"/>
          <w:vertAlign w:val="superscript"/>
        </w:rPr>
        <w:t>-1</w:t>
      </w:r>
      <w:r>
        <w:rPr>
          <w:rFonts w:hint="eastAsia" w:ascii="宋体" w:hAnsi="宋体" w:eastAsia="宋体" w:cs="宋体"/>
        </w:rPr>
        <w:t>出现原料中没有新的弱峰，但弱峰的位置在E与D图谱中均有体现，表明粘结剂与原料粉体间应为物理结合。对比粉体原料和最佳球团颗粒的XRD谱图，样品的特征衍射峰与原料高度吻合，并未出现新峰，结合红外分析进一步证明粘结剂与粉体之间未发生化学反应。</w:t>
      </w:r>
    </w:p>
    <w:p w14:paraId="56EA8793">
      <w:pPr>
        <w:spacing w:line="240" w:lineRule="atLeast"/>
        <w:ind w:firstLine="0" w:firstLineChars="0"/>
        <w:jc w:val="center"/>
        <w:rPr>
          <w:rFonts w:cs="Times New Roman"/>
        </w:rPr>
      </w:pPr>
      <w:r>
        <w:drawing>
          <wp:inline distT="0" distB="0" distL="0" distR="0">
            <wp:extent cx="2181860" cy="1655445"/>
            <wp:effectExtent l="0" t="0" r="8890" b="1905"/>
            <wp:docPr id="21260036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003609" name="图片 1"/>
                    <pic:cNvPicPr>
                      <a:picLocks noChangeAspect="1"/>
                    </pic:cNvPicPr>
                  </pic:nvPicPr>
                  <pic:blipFill>
                    <a:blip r:embed="rId13"/>
                    <a:stretch>
                      <a:fillRect/>
                    </a:stretch>
                  </pic:blipFill>
                  <pic:spPr>
                    <a:xfrm>
                      <a:off x="0" y="0"/>
                      <a:ext cx="2181907" cy="1656000"/>
                    </a:xfrm>
                    <a:prstGeom prst="rect">
                      <a:avLst/>
                    </a:prstGeom>
                  </pic:spPr>
                </pic:pic>
              </a:graphicData>
            </a:graphic>
          </wp:inline>
        </w:drawing>
      </w:r>
      <w:r>
        <w:rPr>
          <w:rFonts w:cs="Times New Roman"/>
        </w:rPr>
        <w:drawing>
          <wp:inline distT="0" distB="0" distL="0" distR="0">
            <wp:extent cx="2135505" cy="1977390"/>
            <wp:effectExtent l="0" t="0" r="17145" b="3810"/>
            <wp:docPr id="1217" name="图片 1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 name="图片 1217"/>
                    <pic:cNvPicPr>
                      <a:picLocks noChangeAspect="1"/>
                    </pic:cNvPicPr>
                  </pic:nvPicPr>
                  <pic:blipFill>
                    <a:blip r:embed="rId14"/>
                    <a:stretch>
                      <a:fillRect/>
                    </a:stretch>
                  </pic:blipFill>
                  <pic:spPr>
                    <a:xfrm>
                      <a:off x="0" y="0"/>
                      <a:ext cx="2150343" cy="1990840"/>
                    </a:xfrm>
                    <a:prstGeom prst="rect">
                      <a:avLst/>
                    </a:prstGeom>
                  </pic:spPr>
                </pic:pic>
              </a:graphicData>
            </a:graphic>
          </wp:inline>
        </w:drawing>
      </w:r>
    </w:p>
    <w:p w14:paraId="7E5FF3E1">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图8 粘结剂、原料粉体及最佳球团样品FT-IR（a）和XRD（b）图谱</w:t>
      </w:r>
    </w:p>
    <w:p w14:paraId="208A190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  结论</w:t>
      </w:r>
    </w:p>
    <w:p w14:paraId="5702E319">
      <w:pPr>
        <w:keepNext w:val="0"/>
        <w:keepLines w:val="0"/>
        <w:pageBreakBefore w:val="0"/>
        <w:widowControl w:val="0"/>
        <w:kinsoku/>
        <w:wordWrap/>
        <w:overflowPunct/>
        <w:topLinePunct w:val="0"/>
        <w:bidi w:val="0"/>
        <w:snapToGrid/>
        <w:spacing w:line="400" w:lineRule="exact"/>
        <w:ind w:firstLine="420"/>
        <w:textAlignment w:val="auto"/>
        <w:rPr>
          <w:rFonts w:hint="eastAsia" w:ascii="宋体" w:hAnsi="宋体" w:eastAsia="宋体" w:cs="宋体"/>
          <w:sz w:val="21"/>
          <w:szCs w:val="21"/>
        </w:rPr>
      </w:pPr>
      <w:r>
        <w:rPr>
          <w:rFonts w:hint="eastAsia" w:ascii="宋体" w:hAnsi="宋体" w:eastAsia="宋体" w:cs="宋体"/>
          <w:sz w:val="21"/>
          <w:szCs w:val="21"/>
        </w:rPr>
        <w:t>本文主要以产品颗粒抗压强度、含水量和产品成粒率为考察指标，使用粘结剂对硫精砂粉体进行造粒，探讨了硫精砂粉体制备颗粒产品的工艺条件，得到如下结论：</w:t>
      </w:r>
    </w:p>
    <w:p w14:paraId="1D358510">
      <w:pPr>
        <w:keepNext w:val="0"/>
        <w:keepLines w:val="0"/>
        <w:pageBreakBefore w:val="0"/>
        <w:widowControl w:val="0"/>
        <w:kinsoku/>
        <w:wordWrap/>
        <w:overflowPunct/>
        <w:topLinePunct w:val="0"/>
        <w:bidi w:val="0"/>
        <w:snapToGrid/>
        <w:spacing w:line="400" w:lineRule="exact"/>
        <w:ind w:firstLine="420"/>
        <w:textAlignment w:val="auto"/>
        <w:rPr>
          <w:rFonts w:hint="eastAsia" w:ascii="宋体" w:hAnsi="宋体" w:eastAsia="宋体" w:cs="宋体"/>
          <w:sz w:val="21"/>
          <w:szCs w:val="21"/>
        </w:rPr>
      </w:pPr>
      <w:r>
        <w:rPr>
          <w:rFonts w:hint="eastAsia" w:ascii="宋体" w:hAnsi="宋体" w:eastAsia="宋体" w:cs="宋体"/>
          <w:sz w:val="21"/>
          <w:szCs w:val="21"/>
        </w:rPr>
        <w:t>硫精砂作为制酸原料硫铁矿的替代，耐高温的硅酸盐类无机添加剂为造粒的适宜选择。考察了不同单因素对产品成粒率、颗粒抗压强度和含水量的影响，最佳造粒工艺条件为：D/E最佳质量比为3:2，组合粘结剂与原料预先干混，干燥时间为90 min，颗粒平均抗压强度为39.47 N，平均含水量为5.56%，产品成粒率为85.57%，S和Fe含量分别为59.14%和32.96%，具备高强度和低含水的要求，符合硫精矿行业标准中优等品Ι要求。最佳硫精砂球团颗粒SEM、XRD和FT-IR分析结果显示，原料粉体与粘结剂相互混合、渗透，填充紧密，球团结构稳定。最佳球团颗粒红外峰、物相峰与原料峰基本吻合，未出现新峰，粉体与粘结剂之间未生成新的结合物。</w:t>
      </w:r>
    </w:p>
    <w:p w14:paraId="49316531">
      <w:pPr>
        <w:keepNext w:val="0"/>
        <w:keepLines w:val="0"/>
        <w:pageBreakBefore w:val="0"/>
        <w:widowControl w:val="0"/>
        <w:kinsoku/>
        <w:wordWrap/>
        <w:overflowPunct/>
        <w:topLinePunct w:val="0"/>
        <w:bidi w:val="0"/>
        <w:snapToGrid/>
        <w:spacing w:line="400" w:lineRule="exact"/>
        <w:textAlignment w:val="auto"/>
        <w:rPr>
          <w:rFonts w:hint="eastAsia" w:ascii="宋体" w:hAnsi="宋体" w:eastAsia="宋体" w:cs="宋体"/>
          <w:sz w:val="21"/>
          <w:szCs w:val="21"/>
        </w:rPr>
      </w:pPr>
    </w:p>
    <w:p w14:paraId="5B2FBD65">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firstLineChars="0"/>
        <w:textAlignment w:val="auto"/>
        <w:rPr>
          <w:rFonts w:hint="eastAsia" w:ascii="宋体" w:hAnsi="宋体" w:eastAsia="宋体" w:cs="宋体"/>
          <w:b/>
          <w:bCs/>
          <w:color w:val="000000"/>
          <w:kern w:val="0"/>
          <w:sz w:val="21"/>
          <w:szCs w:val="21"/>
        </w:rPr>
      </w:pPr>
      <w:r>
        <w:rPr>
          <w:rFonts w:hint="eastAsia" w:ascii="宋体" w:hAnsi="宋体" w:eastAsia="宋体" w:cs="宋体"/>
          <w:color w:val="000000"/>
          <w:kern w:val="0"/>
          <w:sz w:val="21"/>
          <w:szCs w:val="21"/>
        </w:rPr>
        <w:fldChar w:fldCharType="begin"/>
      </w:r>
      <w:r>
        <w:rPr>
          <w:rFonts w:hint="eastAsia" w:ascii="宋体" w:hAnsi="宋体" w:eastAsia="宋体" w:cs="宋体"/>
          <w:color w:val="000000"/>
          <w:kern w:val="0"/>
          <w:sz w:val="21"/>
          <w:szCs w:val="21"/>
        </w:rPr>
        <w:instrText xml:space="preserve"> ADDIN NE.Bib</w:instrText>
      </w:r>
      <w:r>
        <w:rPr>
          <w:rFonts w:hint="eastAsia" w:ascii="宋体" w:hAnsi="宋体" w:eastAsia="宋体" w:cs="宋体"/>
          <w:color w:val="000000"/>
          <w:kern w:val="0"/>
          <w:sz w:val="21"/>
          <w:szCs w:val="21"/>
        </w:rPr>
        <w:fldChar w:fldCharType="separate"/>
      </w:r>
      <w:bookmarkStart w:id="120" w:name="_Toc132561808"/>
      <w:bookmarkStart w:id="121" w:name="_Toc132531325"/>
      <w:bookmarkStart w:id="122" w:name="_Toc132356487"/>
      <w:bookmarkStart w:id="123" w:name="_Toc132370211"/>
      <w:bookmarkStart w:id="124" w:name="_Toc132356613"/>
      <w:r>
        <w:rPr>
          <w:rFonts w:hint="eastAsia" w:ascii="宋体" w:hAnsi="宋体" w:eastAsia="宋体" w:cs="宋体"/>
          <w:b/>
          <w:bCs/>
          <w:color w:val="000000"/>
          <w:kern w:val="0"/>
          <w:sz w:val="21"/>
          <w:szCs w:val="21"/>
        </w:rPr>
        <w:t>参考文献</w:t>
      </w:r>
      <w:bookmarkEnd w:id="120"/>
      <w:bookmarkEnd w:id="121"/>
      <w:bookmarkEnd w:id="122"/>
      <w:bookmarkEnd w:id="123"/>
      <w:bookmarkEnd w:id="124"/>
    </w:p>
    <w:p w14:paraId="7B2561FE">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firstLineChars="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r>
        <w:rPr>
          <w:rFonts w:hint="eastAsia" w:ascii="宋体" w:hAnsi="宋体" w:eastAsia="宋体" w:cs="宋体"/>
          <w:color w:val="000000"/>
          <w:kern w:val="0"/>
          <w:sz w:val="21"/>
          <w:szCs w:val="21"/>
        </w:rPr>
        <w:tab/>
      </w:r>
      <w:bookmarkStart w:id="125" w:name="_neb24B48879_5C8E_49D4_AE54_167DEE201F02"/>
      <w:r>
        <w:rPr>
          <w:rFonts w:hint="eastAsia" w:ascii="宋体" w:hAnsi="宋体" w:eastAsia="宋体" w:cs="宋体"/>
          <w:color w:val="000000"/>
          <w:kern w:val="0"/>
          <w:sz w:val="21"/>
          <w:szCs w:val="21"/>
        </w:rPr>
        <w:t>刘超. 我国硫磷钾资源状况[J]. 硫酸工业, 2018(11): 1-4.</w:t>
      </w:r>
      <w:bookmarkEnd w:id="125"/>
    </w:p>
    <w:p w14:paraId="642D50EC">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firstLineChars="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w:t>
      </w:r>
      <w:r>
        <w:rPr>
          <w:rFonts w:hint="eastAsia" w:ascii="宋体" w:hAnsi="宋体" w:eastAsia="宋体" w:cs="宋体"/>
          <w:color w:val="000000"/>
          <w:kern w:val="0"/>
          <w:sz w:val="21"/>
          <w:szCs w:val="21"/>
        </w:rPr>
        <w:tab/>
      </w:r>
      <w:bookmarkStart w:id="126" w:name="_nebD549BD31_3E57_4AF0_8C2E_C0F8950C1B54"/>
      <w:r>
        <w:rPr>
          <w:rFonts w:hint="eastAsia" w:ascii="宋体" w:hAnsi="宋体" w:eastAsia="宋体" w:cs="宋体"/>
          <w:color w:val="000000"/>
          <w:kern w:val="0"/>
          <w:sz w:val="21"/>
          <w:szCs w:val="21"/>
        </w:rPr>
        <w:t>李东玲. 川南硫铁矿选矿工艺研发及尾矿资源化利用[D].重庆: 重庆大学, 2012.</w:t>
      </w:r>
      <w:bookmarkEnd w:id="126"/>
    </w:p>
    <w:p w14:paraId="39864D1E">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firstLineChars="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w:t>
      </w:r>
      <w:r>
        <w:rPr>
          <w:rFonts w:hint="eastAsia" w:ascii="宋体" w:hAnsi="宋体" w:eastAsia="宋体" w:cs="宋体"/>
          <w:color w:val="000000"/>
          <w:kern w:val="0"/>
          <w:sz w:val="21"/>
          <w:szCs w:val="21"/>
        </w:rPr>
        <w:tab/>
      </w:r>
      <w:bookmarkStart w:id="127" w:name="_neb9A0A5A50_1268_47AF_901F_C31D806F6D96"/>
      <w:r>
        <w:rPr>
          <w:rFonts w:hint="eastAsia" w:ascii="宋体" w:hAnsi="宋体" w:eastAsia="宋体" w:cs="宋体"/>
          <w:color w:val="000000"/>
          <w:kern w:val="0"/>
          <w:sz w:val="21"/>
          <w:szCs w:val="21"/>
        </w:rPr>
        <w:t>周开灿, 胡治宪, 冯启明, 等. 川南硫铁矿尾矿的精选提纯[J]. 矿产综合利用, 1999(2): 39-43.</w:t>
      </w:r>
      <w:bookmarkEnd w:id="127"/>
    </w:p>
    <w:p w14:paraId="3DCFDEE1">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firstLineChars="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[4]王美霞,潘爱芳,马润勇,等.白河硫铁矿弃渣全量资源化利用研究[J].化学工程,2022,50(11):1-5.</w:t>
      </w:r>
    </w:p>
    <w:p w14:paraId="70495A80">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firstLineChars="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w:t>
      </w:r>
      <w:r>
        <w:rPr>
          <w:rFonts w:hint="eastAsia" w:ascii="宋体" w:hAnsi="宋体" w:eastAsia="宋体" w:cs="宋体"/>
          <w:color w:val="000000"/>
          <w:kern w:val="0"/>
          <w:sz w:val="21"/>
          <w:szCs w:val="21"/>
        </w:rPr>
        <w:tab/>
      </w:r>
      <w:bookmarkStart w:id="128" w:name="_neb4E881249_FF80_488B_AC7B_544F2974D588"/>
      <w:r>
        <w:rPr>
          <w:rFonts w:hint="eastAsia" w:ascii="宋体" w:hAnsi="宋体" w:eastAsia="宋体" w:cs="宋体"/>
          <w:color w:val="000000"/>
          <w:kern w:val="0"/>
          <w:sz w:val="21"/>
          <w:szCs w:val="21"/>
        </w:rPr>
        <w:t>冯启明, 王维清. 川南高铁钛硫铁尾矿全组分综合利用研究[J]. 中国矿业, 2004(6): 76-78.</w:t>
      </w:r>
      <w:bookmarkEnd w:id="128"/>
    </w:p>
    <w:p w14:paraId="4921E233">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firstLineChars="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[5]</w:t>
      </w:r>
      <w:r>
        <w:rPr>
          <w:rFonts w:hint="eastAsia" w:ascii="宋体" w:hAnsi="宋体" w:eastAsia="宋体" w:cs="宋体"/>
          <w:color w:val="000000"/>
          <w:kern w:val="0"/>
          <w:sz w:val="21"/>
          <w:szCs w:val="21"/>
        </w:rPr>
        <w:tab/>
      </w:r>
      <w:bookmarkStart w:id="129" w:name="_nebCFC2AC16_EA1D_4A49_A988_5D1E61529387"/>
      <w:r>
        <w:rPr>
          <w:rFonts w:hint="eastAsia" w:ascii="宋体" w:hAnsi="宋体" w:eastAsia="宋体" w:cs="宋体"/>
          <w:color w:val="000000"/>
          <w:kern w:val="0"/>
          <w:sz w:val="21"/>
          <w:szCs w:val="21"/>
        </w:rPr>
        <w:t>高德政, 周开灿, 冯启明, 等. 川南硫铁矿尾矿特征及综合利用研究[J]. 矿产保护与利用, 2000(3): 39-41.</w:t>
      </w:r>
      <w:bookmarkEnd w:id="129"/>
    </w:p>
    <w:p w14:paraId="33EFA88D">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firstLineChars="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[6]</w:t>
      </w:r>
      <w:r>
        <w:rPr>
          <w:rFonts w:hint="eastAsia" w:ascii="宋体" w:hAnsi="宋体" w:eastAsia="宋体" w:cs="宋体"/>
          <w:color w:val="000000"/>
          <w:kern w:val="0"/>
          <w:sz w:val="21"/>
          <w:szCs w:val="21"/>
        </w:rPr>
        <w:tab/>
      </w:r>
      <w:bookmarkStart w:id="130" w:name="_nebF10ED396_A698_4740_B63D_B1DA1D8CCA41"/>
      <w:r>
        <w:rPr>
          <w:rFonts w:hint="eastAsia" w:ascii="宋体" w:hAnsi="宋体" w:eastAsia="宋体" w:cs="宋体"/>
          <w:color w:val="000000"/>
          <w:kern w:val="0"/>
          <w:sz w:val="21"/>
          <w:szCs w:val="21"/>
        </w:rPr>
        <w:t>黄欢. 利用川南硫铁尾矿制备莫来石晶须的试验研究[D].成都: 成都理工大学, 2015.</w:t>
      </w:r>
      <w:bookmarkEnd w:id="130"/>
    </w:p>
    <w:p w14:paraId="646DD567">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firstLineChars="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[7]张汉泉,路漫漫,胡定国.硫酸渣磁化焙烧-磁选提铁降硫[J].武汉工程大学学报,2012,34(10):15-18.</w:t>
      </w:r>
    </w:p>
    <w:p w14:paraId="0C2203E4">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firstLineChars="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[8]</w:t>
      </w:r>
      <w:r>
        <w:rPr>
          <w:rFonts w:hint="eastAsia" w:ascii="宋体" w:hAnsi="宋体" w:eastAsia="宋体" w:cs="宋体"/>
          <w:color w:val="000000"/>
          <w:kern w:val="0"/>
          <w:sz w:val="21"/>
          <w:szCs w:val="21"/>
        </w:rPr>
        <w:tab/>
      </w:r>
      <w:bookmarkStart w:id="131" w:name="_nebC28CCCAB_7579_4ADA_9168_F86973761D3A"/>
      <w:r>
        <w:rPr>
          <w:rFonts w:hint="eastAsia" w:ascii="宋体" w:hAnsi="宋体" w:eastAsia="宋体" w:cs="宋体"/>
          <w:color w:val="000000"/>
          <w:kern w:val="0"/>
          <w:sz w:val="21"/>
          <w:szCs w:val="21"/>
        </w:rPr>
        <w:t>高德政, 周开灿, 冯启明, 等. 川南硫铁矿开发中的环境污染与治理[J]. 矿产综合利用, 2001(4): 23-27.</w:t>
      </w:r>
      <w:bookmarkEnd w:id="131"/>
    </w:p>
    <w:p w14:paraId="75066ACF">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firstLineChars="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[9]林小群,文虹力,邓闻波.铁矿中硫铁矿烧渣的检测技术研究与控制[J].冶金管理,2022,(19):33-35.</w:t>
      </w:r>
    </w:p>
    <w:p w14:paraId="7700A231">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firstLineChars="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[10]曾衍寿.马坑矿业磁性铁精粉运输仓储防黏料及堵料措施研究[J].现代矿业,2025,41(01):101-104+110.</w:t>
      </w:r>
    </w:p>
    <w:p w14:paraId="33587DA4">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firstLineChars="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[11]郑潘,蔡宇昊,刘肖岍,等.响应面法优化对硝基氯苯水解工艺的研究[J].现代化工,2023,43(S2):247-251.</w:t>
      </w:r>
    </w:p>
    <w:p w14:paraId="6A67D992">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firstLineChars="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[12]安胜欣,薛凤洋,李文志.醇酸体系分离木质素对酶解性能的影响[J].化学工程,2021,49(09):3-8.</w:t>
      </w:r>
    </w:p>
    <w:p w14:paraId="00A91AE0">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firstLineChars="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[13]王楚楚,叶韧,史霄宇,等.木质素基碳点的制备及其对pH响应分析[J].林产化学与工业,2024,44(04):107-112.</w:t>
      </w:r>
    </w:p>
    <w:p w14:paraId="7A6776F4">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firstLineChars="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[14]郭德宝,于西泉,赵悌军,等.硅胶的制备及其性能研究[J].当代化工研究,2020,(20):150-152.</w:t>
      </w:r>
    </w:p>
    <w:p w14:paraId="51ECB4FB">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firstLineChars="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[15]张卫红,白梦晨,黄少博.超疏水棉纤维制备及其选择性吸附油性溶剂的能力[J].化工科技,2019,27(01):33-39.</w:t>
      </w:r>
    </w:p>
    <w:p w14:paraId="58F49F68">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firstLineChars="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[16]吴迪.Mg/Al-LDH改性生物炭的制备及其对水溶液中Cd2+和Pb2+的去除[D].东北农业大学,2023.</w:t>
      </w:r>
    </w:p>
    <w:p w14:paraId="335FA8BD">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firstLineChars="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[17]李明,洪汉烈.阿富汗浅绿色电气石宝石学及谱学特征[J].光谱学与光谱分析,2023,43(07):2195-2201.</w:t>
      </w:r>
    </w:p>
    <w:p w14:paraId="13A72090">
      <w:pPr>
        <w:keepNext w:val="0"/>
        <w:keepLines w:val="0"/>
        <w:pageBreakBefore w:val="0"/>
        <w:widowControl w:val="0"/>
        <w:kinsoku/>
        <w:wordWrap/>
        <w:overflowPunct/>
        <w:topLinePunct w:val="0"/>
        <w:autoSpaceDE w:val="0"/>
        <w:autoSpaceDN w:val="0"/>
        <w:bidi w:val="0"/>
        <w:adjustRightInd w:val="0"/>
        <w:snapToGrid/>
        <w:spacing w:line="400" w:lineRule="exact"/>
        <w:ind w:left="0" w:leftChars="0" w:firstLine="0" w:firstLineChars="0"/>
        <w:textAlignment w:val="auto"/>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fldChar w:fldCharType="end"/>
      </w:r>
    </w:p>
    <w:sectPr>
      <w:headerReference r:id="rId3" w:type="default"/>
      <w:footerReference r:id="rId4" w:type="default"/>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MS Minch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73FFC">
    <w:pPr>
      <w:pStyle w:val="10"/>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B9796">
    <w:pPr>
      <w:pStyle w:val="11"/>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B86B51"/>
    <w:rsid w:val="03304250"/>
    <w:rsid w:val="0374238F"/>
    <w:rsid w:val="03A5079A"/>
    <w:rsid w:val="03C50E3C"/>
    <w:rsid w:val="03C527A5"/>
    <w:rsid w:val="048748A1"/>
    <w:rsid w:val="04CC1D57"/>
    <w:rsid w:val="04DC643E"/>
    <w:rsid w:val="056106F1"/>
    <w:rsid w:val="05AE130F"/>
    <w:rsid w:val="05E03D0C"/>
    <w:rsid w:val="05FB3670"/>
    <w:rsid w:val="06112117"/>
    <w:rsid w:val="062077BC"/>
    <w:rsid w:val="065F10D4"/>
    <w:rsid w:val="070752C8"/>
    <w:rsid w:val="0730481F"/>
    <w:rsid w:val="076E5F7E"/>
    <w:rsid w:val="07B471FE"/>
    <w:rsid w:val="07C05BA3"/>
    <w:rsid w:val="07E3246F"/>
    <w:rsid w:val="07F7358F"/>
    <w:rsid w:val="08564759"/>
    <w:rsid w:val="08BA0844"/>
    <w:rsid w:val="091A7E4E"/>
    <w:rsid w:val="09931095"/>
    <w:rsid w:val="09E57B43"/>
    <w:rsid w:val="09F00295"/>
    <w:rsid w:val="0A4800D1"/>
    <w:rsid w:val="0A4B20AA"/>
    <w:rsid w:val="0AEE6ECB"/>
    <w:rsid w:val="0AFF2E86"/>
    <w:rsid w:val="0B1E4577"/>
    <w:rsid w:val="0B664CB3"/>
    <w:rsid w:val="0C0E77A3"/>
    <w:rsid w:val="0C2B45A8"/>
    <w:rsid w:val="0C4D19CF"/>
    <w:rsid w:val="0C580AA0"/>
    <w:rsid w:val="0C8E44C1"/>
    <w:rsid w:val="0CDE6ACB"/>
    <w:rsid w:val="0CE82491"/>
    <w:rsid w:val="0CF56428"/>
    <w:rsid w:val="0D522638"/>
    <w:rsid w:val="0D525F6F"/>
    <w:rsid w:val="0D731909"/>
    <w:rsid w:val="0DA11FD2"/>
    <w:rsid w:val="0E3E1DCA"/>
    <w:rsid w:val="0E43752E"/>
    <w:rsid w:val="0E470192"/>
    <w:rsid w:val="0E5352AC"/>
    <w:rsid w:val="0E792F4F"/>
    <w:rsid w:val="0EC8358F"/>
    <w:rsid w:val="0EDD528C"/>
    <w:rsid w:val="0F543075"/>
    <w:rsid w:val="0FE97C61"/>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2302D61"/>
    <w:rsid w:val="123F1DBA"/>
    <w:rsid w:val="12CF1390"/>
    <w:rsid w:val="12DB7D35"/>
    <w:rsid w:val="12E60488"/>
    <w:rsid w:val="13001868"/>
    <w:rsid w:val="132A2A6A"/>
    <w:rsid w:val="13315BA7"/>
    <w:rsid w:val="13CB5FFB"/>
    <w:rsid w:val="145D3907"/>
    <w:rsid w:val="14720225"/>
    <w:rsid w:val="148A7C64"/>
    <w:rsid w:val="14B4083D"/>
    <w:rsid w:val="156C2EC6"/>
    <w:rsid w:val="15C56B00"/>
    <w:rsid w:val="16132CB9"/>
    <w:rsid w:val="16683BA0"/>
    <w:rsid w:val="16B20DAC"/>
    <w:rsid w:val="16B25250"/>
    <w:rsid w:val="16B8213B"/>
    <w:rsid w:val="16D2144F"/>
    <w:rsid w:val="17836BED"/>
    <w:rsid w:val="178C5AA1"/>
    <w:rsid w:val="17AD77C6"/>
    <w:rsid w:val="180513B0"/>
    <w:rsid w:val="180933FC"/>
    <w:rsid w:val="185C6006"/>
    <w:rsid w:val="18616F2E"/>
    <w:rsid w:val="191221DB"/>
    <w:rsid w:val="19235F91"/>
    <w:rsid w:val="19800B64"/>
    <w:rsid w:val="19836A30"/>
    <w:rsid w:val="199944A6"/>
    <w:rsid w:val="19FD4A34"/>
    <w:rsid w:val="1A382C16"/>
    <w:rsid w:val="1A533F79"/>
    <w:rsid w:val="1A5A1E87"/>
    <w:rsid w:val="1ACD2659"/>
    <w:rsid w:val="1B2F179A"/>
    <w:rsid w:val="1B6F3710"/>
    <w:rsid w:val="1C250273"/>
    <w:rsid w:val="1D01483C"/>
    <w:rsid w:val="1D5D57EA"/>
    <w:rsid w:val="1E171E3D"/>
    <w:rsid w:val="1EBA2EF4"/>
    <w:rsid w:val="1EC41FC5"/>
    <w:rsid w:val="1ED75A22"/>
    <w:rsid w:val="1EFE3E02"/>
    <w:rsid w:val="1F78690B"/>
    <w:rsid w:val="1FA40E26"/>
    <w:rsid w:val="20181E55"/>
    <w:rsid w:val="20200F8C"/>
    <w:rsid w:val="204B20BB"/>
    <w:rsid w:val="204F1D62"/>
    <w:rsid w:val="205C7FDB"/>
    <w:rsid w:val="20CA763A"/>
    <w:rsid w:val="21294361"/>
    <w:rsid w:val="21661758"/>
    <w:rsid w:val="21D4251F"/>
    <w:rsid w:val="227635D6"/>
    <w:rsid w:val="22BA5BB9"/>
    <w:rsid w:val="230D784D"/>
    <w:rsid w:val="23957A8C"/>
    <w:rsid w:val="23B95F13"/>
    <w:rsid w:val="24174945"/>
    <w:rsid w:val="24212C83"/>
    <w:rsid w:val="244020ED"/>
    <w:rsid w:val="248B32E5"/>
    <w:rsid w:val="24B17D3C"/>
    <w:rsid w:val="24EE1B49"/>
    <w:rsid w:val="25853B30"/>
    <w:rsid w:val="25867FD4"/>
    <w:rsid w:val="259C77F7"/>
    <w:rsid w:val="262A3A04"/>
    <w:rsid w:val="263F63D5"/>
    <w:rsid w:val="269C7383"/>
    <w:rsid w:val="26A06E73"/>
    <w:rsid w:val="26B66697"/>
    <w:rsid w:val="27200DB2"/>
    <w:rsid w:val="273D46C2"/>
    <w:rsid w:val="27435A51"/>
    <w:rsid w:val="27466F3A"/>
    <w:rsid w:val="276F4A98"/>
    <w:rsid w:val="283B6E9A"/>
    <w:rsid w:val="28414686"/>
    <w:rsid w:val="287C746C"/>
    <w:rsid w:val="288D3427"/>
    <w:rsid w:val="28C3509B"/>
    <w:rsid w:val="28D44D60"/>
    <w:rsid w:val="29F55569"/>
    <w:rsid w:val="2A6D1762"/>
    <w:rsid w:val="2A9C2048"/>
    <w:rsid w:val="2AF37C49"/>
    <w:rsid w:val="2C1A3224"/>
    <w:rsid w:val="2C531232"/>
    <w:rsid w:val="2C5F332D"/>
    <w:rsid w:val="2CDC497D"/>
    <w:rsid w:val="2DA03BFD"/>
    <w:rsid w:val="2DA336ED"/>
    <w:rsid w:val="2DD45655"/>
    <w:rsid w:val="2E7221A8"/>
    <w:rsid w:val="2EC67693"/>
    <w:rsid w:val="2EE30245"/>
    <w:rsid w:val="2F087CAC"/>
    <w:rsid w:val="2F0E4B96"/>
    <w:rsid w:val="2F1A353B"/>
    <w:rsid w:val="2F1F6DA3"/>
    <w:rsid w:val="2F397E65"/>
    <w:rsid w:val="2F4078CD"/>
    <w:rsid w:val="2F620882"/>
    <w:rsid w:val="2F633134"/>
    <w:rsid w:val="2F882B9B"/>
    <w:rsid w:val="2F9E5F1A"/>
    <w:rsid w:val="2FA86D99"/>
    <w:rsid w:val="2FB3544A"/>
    <w:rsid w:val="312F3756"/>
    <w:rsid w:val="31496359"/>
    <w:rsid w:val="315E0057"/>
    <w:rsid w:val="318D4498"/>
    <w:rsid w:val="3199108F"/>
    <w:rsid w:val="319F16AA"/>
    <w:rsid w:val="31CC4FC0"/>
    <w:rsid w:val="31F167D5"/>
    <w:rsid w:val="3216448E"/>
    <w:rsid w:val="321D581C"/>
    <w:rsid w:val="323963CE"/>
    <w:rsid w:val="3273368E"/>
    <w:rsid w:val="32963820"/>
    <w:rsid w:val="32E20814"/>
    <w:rsid w:val="337771AE"/>
    <w:rsid w:val="33F94067"/>
    <w:rsid w:val="34480B4A"/>
    <w:rsid w:val="34821AD6"/>
    <w:rsid w:val="35655629"/>
    <w:rsid w:val="35A52FD0"/>
    <w:rsid w:val="35D501BC"/>
    <w:rsid w:val="36407D2B"/>
    <w:rsid w:val="36455341"/>
    <w:rsid w:val="36BE3BE8"/>
    <w:rsid w:val="36DA26A7"/>
    <w:rsid w:val="36DB5CA6"/>
    <w:rsid w:val="37227431"/>
    <w:rsid w:val="3756532C"/>
    <w:rsid w:val="37B01725"/>
    <w:rsid w:val="37FB060D"/>
    <w:rsid w:val="38061044"/>
    <w:rsid w:val="381C3783"/>
    <w:rsid w:val="389E342F"/>
    <w:rsid w:val="38C5276A"/>
    <w:rsid w:val="39783C80"/>
    <w:rsid w:val="399551B1"/>
    <w:rsid w:val="39D619B3"/>
    <w:rsid w:val="3A445910"/>
    <w:rsid w:val="3A557B1D"/>
    <w:rsid w:val="3A726921"/>
    <w:rsid w:val="3A765FE2"/>
    <w:rsid w:val="3AE0388B"/>
    <w:rsid w:val="3B653D90"/>
    <w:rsid w:val="3B7D732B"/>
    <w:rsid w:val="3BAE3989"/>
    <w:rsid w:val="3BCC3E0F"/>
    <w:rsid w:val="3BD66A3C"/>
    <w:rsid w:val="3C424796"/>
    <w:rsid w:val="3C4340D1"/>
    <w:rsid w:val="3CC044ED"/>
    <w:rsid w:val="3CC25530"/>
    <w:rsid w:val="3CC52D38"/>
    <w:rsid w:val="3CD13DD3"/>
    <w:rsid w:val="3D0715A3"/>
    <w:rsid w:val="3DA212CB"/>
    <w:rsid w:val="3DBB238D"/>
    <w:rsid w:val="3DBD6105"/>
    <w:rsid w:val="3E4405D4"/>
    <w:rsid w:val="3E6D7166"/>
    <w:rsid w:val="3E9C5D1B"/>
    <w:rsid w:val="3F375A43"/>
    <w:rsid w:val="3FA4757D"/>
    <w:rsid w:val="3FB6105E"/>
    <w:rsid w:val="3FE444E6"/>
    <w:rsid w:val="3FE94F8F"/>
    <w:rsid w:val="40583EC3"/>
    <w:rsid w:val="40642868"/>
    <w:rsid w:val="407A652F"/>
    <w:rsid w:val="40923879"/>
    <w:rsid w:val="410F592B"/>
    <w:rsid w:val="411424E0"/>
    <w:rsid w:val="41641264"/>
    <w:rsid w:val="41700BEB"/>
    <w:rsid w:val="426C3C56"/>
    <w:rsid w:val="42786A9F"/>
    <w:rsid w:val="42BC1743"/>
    <w:rsid w:val="42EE53FF"/>
    <w:rsid w:val="43E4263E"/>
    <w:rsid w:val="45554E75"/>
    <w:rsid w:val="459D60E3"/>
    <w:rsid w:val="45B70627"/>
    <w:rsid w:val="45CA5863"/>
    <w:rsid w:val="45E5444B"/>
    <w:rsid w:val="46362EF9"/>
    <w:rsid w:val="465515D1"/>
    <w:rsid w:val="468E4AE3"/>
    <w:rsid w:val="46F54E2D"/>
    <w:rsid w:val="46FD57C4"/>
    <w:rsid w:val="471F1BDF"/>
    <w:rsid w:val="47925F0D"/>
    <w:rsid w:val="47A143DA"/>
    <w:rsid w:val="47E81E53"/>
    <w:rsid w:val="48A028AB"/>
    <w:rsid w:val="48B545A9"/>
    <w:rsid w:val="491312CF"/>
    <w:rsid w:val="495C0DBE"/>
    <w:rsid w:val="49CB1BAA"/>
    <w:rsid w:val="4A070E34"/>
    <w:rsid w:val="4A4F4589"/>
    <w:rsid w:val="4AB60164"/>
    <w:rsid w:val="4AC00FE3"/>
    <w:rsid w:val="4B8E06C7"/>
    <w:rsid w:val="4C934BC0"/>
    <w:rsid w:val="4CFB09F8"/>
    <w:rsid w:val="4D057181"/>
    <w:rsid w:val="4D447CA9"/>
    <w:rsid w:val="4D5123C6"/>
    <w:rsid w:val="4D6B792C"/>
    <w:rsid w:val="4DA16EA9"/>
    <w:rsid w:val="4DDA060D"/>
    <w:rsid w:val="4DED1912"/>
    <w:rsid w:val="4E257ADB"/>
    <w:rsid w:val="4E353A96"/>
    <w:rsid w:val="4EAD187E"/>
    <w:rsid w:val="4EB175C0"/>
    <w:rsid w:val="4EB62E28"/>
    <w:rsid w:val="4F0911AA"/>
    <w:rsid w:val="4F0A6CD0"/>
    <w:rsid w:val="4F78309C"/>
    <w:rsid w:val="4F7E394E"/>
    <w:rsid w:val="50A20D13"/>
    <w:rsid w:val="50AD3DB7"/>
    <w:rsid w:val="50AF7B2F"/>
    <w:rsid w:val="50B02F71"/>
    <w:rsid w:val="50C26CF2"/>
    <w:rsid w:val="50EC0D83"/>
    <w:rsid w:val="50FE0CB7"/>
    <w:rsid w:val="512D188F"/>
    <w:rsid w:val="51363DAD"/>
    <w:rsid w:val="513B5867"/>
    <w:rsid w:val="5144673C"/>
    <w:rsid w:val="519D207E"/>
    <w:rsid w:val="51EC090F"/>
    <w:rsid w:val="51FB00AC"/>
    <w:rsid w:val="524D7600"/>
    <w:rsid w:val="52E57838"/>
    <w:rsid w:val="534C3D5B"/>
    <w:rsid w:val="542B3971"/>
    <w:rsid w:val="54335EE7"/>
    <w:rsid w:val="5463310B"/>
    <w:rsid w:val="54AF45A2"/>
    <w:rsid w:val="54C142D5"/>
    <w:rsid w:val="55254864"/>
    <w:rsid w:val="553C395C"/>
    <w:rsid w:val="55BA1450"/>
    <w:rsid w:val="56037691"/>
    <w:rsid w:val="56083D8A"/>
    <w:rsid w:val="56135E24"/>
    <w:rsid w:val="564017AC"/>
    <w:rsid w:val="567B0721"/>
    <w:rsid w:val="56F97D56"/>
    <w:rsid w:val="56FC33A3"/>
    <w:rsid w:val="57081D47"/>
    <w:rsid w:val="57E97DCB"/>
    <w:rsid w:val="57EF1159"/>
    <w:rsid w:val="583059FA"/>
    <w:rsid w:val="5847689F"/>
    <w:rsid w:val="58532B2C"/>
    <w:rsid w:val="58984204"/>
    <w:rsid w:val="58C47EF0"/>
    <w:rsid w:val="59285798"/>
    <w:rsid w:val="596F60AE"/>
    <w:rsid w:val="5A2A0227"/>
    <w:rsid w:val="5A7B0A82"/>
    <w:rsid w:val="5B0311A3"/>
    <w:rsid w:val="5BB5218E"/>
    <w:rsid w:val="5BFE5E0F"/>
    <w:rsid w:val="5CAA564F"/>
    <w:rsid w:val="5D221689"/>
    <w:rsid w:val="5D7874FB"/>
    <w:rsid w:val="5E361890"/>
    <w:rsid w:val="5EDA046D"/>
    <w:rsid w:val="5EE237C6"/>
    <w:rsid w:val="5EFF7ED4"/>
    <w:rsid w:val="5F2B2AC6"/>
    <w:rsid w:val="5F7679C4"/>
    <w:rsid w:val="5F7F2DC3"/>
    <w:rsid w:val="5FBF1411"/>
    <w:rsid w:val="601A09BC"/>
    <w:rsid w:val="60395667"/>
    <w:rsid w:val="60AA0313"/>
    <w:rsid w:val="610D33E8"/>
    <w:rsid w:val="615E35D8"/>
    <w:rsid w:val="619568CD"/>
    <w:rsid w:val="61E67129"/>
    <w:rsid w:val="62002880"/>
    <w:rsid w:val="621A5025"/>
    <w:rsid w:val="62CC27C3"/>
    <w:rsid w:val="635A7DCF"/>
    <w:rsid w:val="637D39BD"/>
    <w:rsid w:val="637D586B"/>
    <w:rsid w:val="63872EA4"/>
    <w:rsid w:val="63F26259"/>
    <w:rsid w:val="64061D04"/>
    <w:rsid w:val="640A365A"/>
    <w:rsid w:val="640E2967"/>
    <w:rsid w:val="64754794"/>
    <w:rsid w:val="64FD7B2B"/>
    <w:rsid w:val="657B402C"/>
    <w:rsid w:val="65C07C91"/>
    <w:rsid w:val="66CA526B"/>
    <w:rsid w:val="67C12792"/>
    <w:rsid w:val="67DD0FCE"/>
    <w:rsid w:val="687436E1"/>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D95D94"/>
    <w:rsid w:val="6DF606F4"/>
    <w:rsid w:val="6E267136"/>
    <w:rsid w:val="6E2D67FA"/>
    <w:rsid w:val="6E6E0BD2"/>
    <w:rsid w:val="6E91041D"/>
    <w:rsid w:val="6ECB392F"/>
    <w:rsid w:val="6F562B93"/>
    <w:rsid w:val="6FA348AB"/>
    <w:rsid w:val="6FBB39A3"/>
    <w:rsid w:val="6FD23894"/>
    <w:rsid w:val="6FE23626"/>
    <w:rsid w:val="6FEC1DAE"/>
    <w:rsid w:val="70383246"/>
    <w:rsid w:val="703D260A"/>
    <w:rsid w:val="7060279C"/>
    <w:rsid w:val="70626FA0"/>
    <w:rsid w:val="70756EB2"/>
    <w:rsid w:val="70B825D8"/>
    <w:rsid w:val="7258197D"/>
    <w:rsid w:val="72C60FDD"/>
    <w:rsid w:val="72EB27F1"/>
    <w:rsid w:val="730241B0"/>
    <w:rsid w:val="731A1328"/>
    <w:rsid w:val="73587D13"/>
    <w:rsid w:val="743B50B2"/>
    <w:rsid w:val="74BF5CE3"/>
    <w:rsid w:val="750977D2"/>
    <w:rsid w:val="75263FB5"/>
    <w:rsid w:val="75693EA1"/>
    <w:rsid w:val="75B25848"/>
    <w:rsid w:val="766528BB"/>
    <w:rsid w:val="768F268A"/>
    <w:rsid w:val="76C92E49"/>
    <w:rsid w:val="76F31C74"/>
    <w:rsid w:val="77617526"/>
    <w:rsid w:val="777803CC"/>
    <w:rsid w:val="777A05E8"/>
    <w:rsid w:val="77F43158"/>
    <w:rsid w:val="781A1483"/>
    <w:rsid w:val="781F0851"/>
    <w:rsid w:val="7820118F"/>
    <w:rsid w:val="782A7918"/>
    <w:rsid w:val="788A750F"/>
    <w:rsid w:val="78B00E0E"/>
    <w:rsid w:val="78C94F9D"/>
    <w:rsid w:val="78FD502C"/>
    <w:rsid w:val="790E7239"/>
    <w:rsid w:val="796450AB"/>
    <w:rsid w:val="79EB30D7"/>
    <w:rsid w:val="7A293F0A"/>
    <w:rsid w:val="7A5E24AA"/>
    <w:rsid w:val="7ACB4CB6"/>
    <w:rsid w:val="7B02692A"/>
    <w:rsid w:val="7B486307"/>
    <w:rsid w:val="7B5B603A"/>
    <w:rsid w:val="7B5C744A"/>
    <w:rsid w:val="7BA55C3B"/>
    <w:rsid w:val="7BD858DD"/>
    <w:rsid w:val="7BE9361F"/>
    <w:rsid w:val="7C6B49A3"/>
    <w:rsid w:val="7C765821"/>
    <w:rsid w:val="7C856E44"/>
    <w:rsid w:val="7CD24A22"/>
    <w:rsid w:val="7D366D5F"/>
    <w:rsid w:val="7DD722F0"/>
    <w:rsid w:val="7E32210A"/>
    <w:rsid w:val="7E3808B5"/>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4"/>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 w:type="paragraph" w:customStyle="1" w:styleId="45">
    <w:name w:val="图名1"/>
    <w:basedOn w:val="1"/>
    <w:next w:val="1"/>
    <w:autoRedefine/>
    <w:qFormat/>
    <w:uiPriority w:val="0"/>
    <w:pPr>
      <w:ind w:firstLine="0" w:firstLineChars="0"/>
      <w:jc w:val="center"/>
    </w:pPr>
    <w:rPr>
      <w:rFonts w:eastAsia="黑体" w:cs="Times New Roman"/>
      <w:bCs/>
      <w:color w:val="000000" w:themeColor="text1"/>
      <w:kern w:val="0"/>
      <w:sz w:val="18"/>
      <w:szCs w:val="21"/>
      <w14:textFill>
        <w14:solidFill>
          <w14:schemeClr w14:val="tx1"/>
        </w14:solidFill>
      </w14:textFill>
    </w:rPr>
  </w:style>
  <w:style w:type="paragraph" w:customStyle="1" w:styleId="46">
    <w:name w:val="图名"/>
    <w:basedOn w:val="1"/>
    <w:autoRedefine/>
    <w:qFormat/>
    <w:uiPriority w:val="0"/>
    <w:pPr>
      <w:ind w:firstLine="360"/>
      <w:jc w:val="center"/>
    </w:pPr>
    <w:rPr>
      <w:rFonts w:eastAsia="黑体" w:cs="Times New Roman"/>
      <w:bCs/>
      <w:color w:val="000000" w:themeColor="text1"/>
      <w:kern w:val="0"/>
      <w:sz w:val="18"/>
      <w:szCs w:val="18"/>
      <w14:textFill>
        <w14:solidFill>
          <w14:schemeClr w14:val="tx1"/>
        </w14:solidFill>
      </w14:textFill>
    </w:rPr>
  </w:style>
  <w:style w:type="paragraph" w:customStyle="1" w:styleId="47">
    <w:name w:val="表头"/>
    <w:basedOn w:val="1"/>
    <w:qFormat/>
    <w:uiPriority w:val="0"/>
    <w:pPr>
      <w:spacing w:before="120" w:after="120"/>
      <w:ind w:firstLine="0" w:firstLineChars="0"/>
      <w:jc w:val="center"/>
    </w:pPr>
    <w:rPr>
      <w:sz w:val="18"/>
    </w:rPr>
  </w:style>
  <w:style w:type="table" w:customStyle="1" w:styleId="48">
    <w:name w:val="网格型3"/>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2950</Words>
  <Characters>2975</Characters>
  <Lines>35</Lines>
  <Paragraphs>9</Paragraphs>
  <TotalTime>0</TotalTime>
  <ScaleCrop>false</ScaleCrop>
  <LinksUpToDate>false</LinksUpToDate>
  <CharactersWithSpaces>2987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2026-06-11T08:23:03Z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012170A0420347A89154D3512890171D_12</vt:lpwstr>
  </property>
  <property fmtid="{D5CDD505-2E9C-101B-9397-08002B2CF9AE}" pid="4" name="KSOTemplateDocerSaveRecord">
    <vt:lpwstr>eyJoZGlkIjoiYjVlOTE0MGRkN2E0MWU0MDEyNjJkNTdlYmU3ZGQ5YzUiLCJ1c2VySWQiOiI0NDQ3MDkxMjgifQ==</vt:lpwstr>
  </property>
</Properties>
</file>