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74D2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rtl w:val="0"/>
          <w:cs w:val="0"/>
          <w:lang w:val="en-US" w:eastAsia="zh-CN"/>
        </w:rPr>
      </w:pPr>
    </w:p>
    <w:p w14:paraId="18C2C0D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rtl w:val="0"/>
          <w:cs w:val="0"/>
          <w:lang w:val="en-US" w:eastAsia="zh-CN"/>
        </w:rPr>
      </w:pPr>
      <w:bookmarkStart w:id="63" w:name="_GoBack"/>
      <w:bookmarkEnd w:id="63"/>
      <w:r>
        <w:rPr>
          <w:rFonts w:hint="eastAsia" w:ascii="隶书" w:hAnsi="隶书" w:eastAsia="隶书" w:cs="隶书"/>
          <w:rtl w:val="0"/>
          <w:cs w:val="0"/>
          <w:lang w:val="en-US" w:eastAsia="zh-CN"/>
        </w:rPr>
        <w:t>硫酸工业深度余热回收与资源综合利用</w:t>
      </w:r>
    </w:p>
    <w:p w14:paraId="5A9B3A8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b/>
          <w:bCs/>
          <w:rtl w:val="0"/>
          <w:cs w:val="0"/>
          <w:lang w:val="en-US" w:eastAsia="zh-CN"/>
        </w:rPr>
      </w:pPr>
      <w:r>
        <w:rPr>
          <w:rFonts w:hint="eastAsia" w:ascii="隶书" w:hAnsi="隶书" w:eastAsia="隶书" w:cs="隶书"/>
          <w:rtl w:val="0"/>
          <w:cs w:val="0"/>
          <w:lang w:val="en-US" w:eastAsia="zh-CN"/>
        </w:rPr>
        <w:t>--</w:t>
      </w:r>
      <w:r>
        <w:rPr>
          <w:rFonts w:hint="eastAsia" w:ascii="隶书" w:hAnsi="隶书" w:eastAsia="隶书" w:cs="隶书"/>
          <w:b/>
          <w:bCs/>
          <w:rtl w:val="0"/>
          <w:cs w:val="0"/>
          <w:lang w:val="en-US" w:eastAsia="zh-CN"/>
        </w:rPr>
        <w:t>技术路径、工程实践与能效领管理者</w:t>
      </w:r>
    </w:p>
    <w:p w14:paraId="48FCF56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b/>
          <w:bCs/>
          <w:rtl w:val="0"/>
          <w:cs w:val="0"/>
          <w:lang w:val="en-US" w:eastAsia="zh-CN"/>
        </w:rPr>
        <w:t>管理策略</w:t>
      </w:r>
    </w:p>
    <w:p w14:paraId="31BADAB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毕君芝</w:t>
      </w:r>
    </w:p>
    <w:p w14:paraId="71549B5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云南三环中化化肥有限公司</w:t>
      </w:r>
    </w:p>
    <w:p w14:paraId="125C9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rtl w:val="0"/>
          <w:cs w:val="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摘要：</w:t>
      </w:r>
      <w:bookmarkStart w:id="0" w:name="中文摘要_2"/>
      <w:r>
        <w:rPr>
          <w:rFonts w:hint="eastAsia" w:ascii="宋体" w:hAnsi="宋体" w:eastAsia="宋体" w:cs="宋体"/>
          <w:b w:val="0"/>
          <w:bCs/>
          <w:sz w:val="21"/>
          <w:szCs w:val="21"/>
          <w:rtl w:val="0"/>
          <w:cs w:val="0"/>
          <w:lang w:val="en-US" w:eastAsia="zh-CN"/>
        </w:rPr>
        <w:t>在全球气候治理与“双碳”目标下，硫酸工业面临低碳转型压力。本文系统分析了四种主流工艺的能耗与碳排放特征，明确了低温余热回收不足、资源循环率低两大瓶颈。基于夹点技术和热力学第二定律，构建了余热梯级利用、高效催化、设备节能及智能管控的低碳技术体系，并设计了废酸再生、烧渣高值化等资源循环路线。以云南三环中化化肥有限公司（以下简称三环中化）项目为例，通过烟气旁路热回收、浓硫酸降温及蒸汽梯级利用，实现多产低压蒸汽15 t/h。理论验证表明，硫磺制酸单位产品能耗低至-0.170 tce/t（负能耗），碳排放强度下降40%-65%，固废资源化率超90%，提出“十五五”期间技术升级、政策适配与产业链协同建议，推动硫酸工业向“资源循环枢纽”转型。</w:t>
      </w:r>
      <w:bookmarkEnd w:id="0"/>
    </w:p>
    <w:p w14:paraId="67619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rtl w:val="0"/>
          <w:cs w:val="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关键词：</w:t>
      </w:r>
      <w:bookmarkStart w:id="1" w:name="中文关键词_2"/>
      <w:r>
        <w:rPr>
          <w:rFonts w:hint="eastAsia" w:ascii="宋体" w:hAnsi="宋体" w:eastAsia="宋体" w:cs="宋体"/>
          <w:b w:val="0"/>
          <w:bCs/>
          <w:sz w:val="21"/>
          <w:szCs w:val="21"/>
          <w:rtl w:val="0"/>
          <w:cs w:val="0"/>
          <w:lang w:val="en-US" w:eastAsia="zh-CN"/>
        </w:rPr>
        <w:t>硫酸工业 低温位余热回收 热平衡优化 能效领跑者 资源综合利用 碳排放 夹点技术</w:t>
      </w:r>
      <w:bookmarkEnd w:id="1"/>
    </w:p>
    <w:p w14:paraId="678D5820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65C45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" w:name="一级标题序号_1"/>
      <w:bookmarkStart w:id="3" w:name="一级标题_2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 xml:space="preserve">1  </w:t>
      </w:r>
      <w:bookmarkEnd w:id="2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引言</w:t>
      </w:r>
      <w:bookmarkEnd w:id="3"/>
    </w:p>
    <w:p w14:paraId="4232180A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硫酸被恰如其分地称为“工业之母”，在磷肥、有色金属冶炼、石油化工、新能源材料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等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领域都有极其重要的应用，202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5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年我国硫酸总产量已达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1.28亿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吨，产能约1.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55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亿吨/年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[7]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稳居世界首位。毋庸讳言，硫酸生产全过程有十分明显、可量化的热效应及物质流排放。传统工艺中高中温位余热（焚硫炉、转化器一段）用废热锅炉回收产汽的技术已经十分成熟，热回收率已达90% 左右。但更值得重视的是，我国硫酸生产中约10%- 15% 的低温位余热（主要来自SO ₃ 吸收过程和浓硫酸稀释冷却过程，温度范围80 - 160 ℃）因品位极低、回收技术经济性不佳而长期被白白浪费，故而传统做法是用循环水冷却系统将其直接排入环境，既造成能源损失，也必然带来循环水系统电耗、水耗的大幅增加。</w:t>
      </w:r>
    </w:p>
    <w:p w14:paraId="13E1B1D7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4" w:name="正文段落_4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由于“十四五”及“十五五”规划承上启下，因此国家及地方政府在这一时期接连出台了《固定资产投资项目节能审查和碳排放评价办法》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[5]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、《西部地区鼓励类产业目录》及《工业领域碳达峰实施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 xml:space="preserve"> 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方案》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[6]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诸种政策，把“余热、余压、余气利用”明确列为鼓励类产业，又对新建装置强制要求采用两转两吸及低温余热回收技术。与此同时，《GB291412024工业硫酸稀硝酸和冰醋酸单位产品能源消耗限额》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[1]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同步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发布，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2026年6月《温室气体排放核算与报告要求：第54部分：工业硫酸企业》标准的实施，不断规范并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收紧能耗指标，由此自然、妥帖地推动行业从“末端治理”转向“过程循环+源头减量”理念。</w:t>
      </w:r>
      <w:bookmarkEnd w:id="4"/>
    </w:p>
    <w:p w14:paraId="7E8F3123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由于突破低温位余热回收的技术经济壁垒，实现硫酸装置全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能的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梯级利用，同时妥善解决废酸、烧渣、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磷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石膏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等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副产物的资源化问题，因此这些都是行业低碳转型的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重要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课题。云南三环中化化肥有限公司作为连续11年获得能效“领跑者”称号的标杆企业，硫酸装置热平衡流程优化的实践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可以作为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业内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很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好的范例。故而本文以该项目的技术方案及运行数据为基础，结合行业主流技术路线，系统、严谨地总结硫酸工业实现“近零排放”能源工厂的可行路径。</w:t>
      </w:r>
    </w:p>
    <w:p w14:paraId="6EB21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5" w:name="正文段落_8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2 硫酸行业生产工艺与能耗碳排放现状</w:t>
      </w:r>
      <w:bookmarkEnd w:id="5"/>
    </w:p>
    <w:p w14:paraId="3A35A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6" w:name="正文段落_10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2.1 主流生产工艺特征与能效水平</w:t>
      </w:r>
      <w:bookmarkEnd w:id="6"/>
    </w:p>
    <w:p w14:paraId="77E94BEB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7" w:name="正文段落_12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由于我国硫酸行业有四种工艺路线并存的格局，故不同工艺路线有十分清楚、不同的能耗及碳排放特征。</w:t>
      </w:r>
      <w:bookmarkEnd w:id="7"/>
    </w:p>
    <w:p w14:paraId="5BC38498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由于我国硫酸行业有四种工艺路线并存的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现状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，故不同工艺路线有十分清楚、各异的能耗及碳排放特征。</w:t>
      </w:r>
    </w:p>
    <w:p w14:paraId="016C72E5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8" w:name="正文段落_14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硫磺制酸：由于以进口硫磺为原料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的硫酸生产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，杂质少、工艺流程短、能耗最低，故占总产能的约55%，吨酸综合能耗≤-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110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kgce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/t酸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,碳排放强度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0.10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-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0.12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/t酸，因此很适合大型化装置。其节能的最大潜力就在于低温位余热回收的深度挖掘。</w:t>
      </w:r>
      <w:bookmarkEnd w:id="8"/>
    </w:p>
    <w:p w14:paraId="4395705B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9" w:name="正文段落_16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硫铁矿制酸：由于所用原料为国产硫铁矿，故原料自主可控，占总产能约20%。传统工艺吨酸能耗≤-90kgce,碳排放0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.22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 xml:space="preserve">- 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0.28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tCO₂/t酸，焙烧过程又产生大量烧渣（吨酸产渣约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0.8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吨），因此余热回收及渣中铁资源的高值化利用是本项目改造的两大重点。</w:t>
      </w:r>
      <w:bookmarkEnd w:id="9"/>
    </w:p>
    <w:p w14:paraId="6AF655A6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10" w:name="正文段落_18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冶炼烟气制酸：由于本路线耦合有色金属冶炼过程，又很好地消纳低浓度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的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烟气，故可把硫资源真正做到“变废为宝”，吨酸能耗为≤-75 kgce,属于典型的循环经济路径，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不足的是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烟气浓度波动对装置稳定运行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存在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不利影响。</w:t>
      </w:r>
      <w:bookmarkEnd w:id="10"/>
    </w:p>
    <w:p w14:paraId="57CD8409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石膏制酸：由于该工艺能很好地消纳磷石膏、脱硫石膏等工业固废并联产水泥或胶凝材料，故以鲁北化工为例可知，其吨酸能耗为345 kgce,已达国标一级限额，因此也是解决大宗固废堆存问题十分可靠的技术路线。</w:t>
      </w:r>
    </w:p>
    <w:p w14:paraId="06794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1" w:name="一级标题_4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2.2 能效瓶颈与资源浪费的深层剖析</w:t>
      </w:r>
      <w:bookmarkEnd w:id="11"/>
    </w:p>
    <w:p w14:paraId="1CF0B196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12" w:name="正文段落_22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虽然行业整体能效水平持续提高，但行业内仍有若干共性痛点。首先是余热回收不充分：传统装置只回收高温段（&gt;400℃）热量，低温位（&lt;200℃）余热大量散失，故现有装置的整体热效率尚只有70% 左右。典型硫磺制酸装置中，2#省煤器来的SO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温度为160-165℃，经二吸塔反应后温度降至76-81℃，其所携带的反应热及物理热全部被循环酸带走，之后再由酸冷器靠循环水予以冷却，由此造成能量、水资源的双重浪费。其次是工艺效率偏低：目前不少中小装置仍采用一转一吸流程，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转化率≤ 99%，因此既造成硫资源损失，也加大了尾气处理的负荷。第三是设备能效不足：风机、酸泵、循环水泵等通用设备普遍老化，系统阻力大，故电耗占装置总能耗的15%- 20%。第四是资源循环率低：废酸多采用石灰中和处置，烧渣仅做简单磁选甚至直接堆存，硫、铁、有价金属等资源没有得到充分、合理的梯级回收。第五是管控粗放：人工操作导致参数波动大，变工况适应能力差，故能耗、排放都难以稳定控制在最优区间。</w:t>
      </w:r>
      <w:bookmarkEnd w:id="12"/>
    </w:p>
    <w:p w14:paraId="18A6A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3" w:name="一级标题_6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2.3 政策标准体系的约束与导向</w:t>
      </w:r>
      <w:bookmarkEnd w:id="13"/>
    </w:p>
    <w:p w14:paraId="737B6856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14" w:name="正文段落_24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由于近年来国家对硫酸行业接连出台了有逻辑性、有力度的法规及标准法规及标准，因此可以十分清楚地看到外部驱动力。具体而言，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《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GB29141-2024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工业硫酸、稀硝酸和冰醋酸单位产品能源消耗额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》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[1]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 xml:space="preserve">将工业硫酸单位产品能耗限额划分为三级，新建装置须达到一级先进值（硫磺制酸≤- 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0.11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tce/t,即负能耗）。HJ1335- 2023《硫酸工业污染防治技术规范》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[3]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eastAsia="zh-CN"/>
        </w:rPr>
        <w:t>】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把SO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排放限值收严到≤30mg/m³（重点区域），NO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x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≤50mg/m³ ，酸雾≤5mg/m³。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《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GB/T32151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.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54-2025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 xml:space="preserve"> 温室气体排放核算与报告要求第54部分：工业硫酸企业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》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[4]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明确规定了温室气体排放核算、报告的具体要求，且碳排放已被正式纳入地方碳市场管理。由此可以看出，单纯末端治理已经不行，必须从流程再造入手实现源头减量、过程增效。</w:t>
      </w:r>
      <w:bookmarkEnd w:id="14"/>
    </w:p>
    <w:p w14:paraId="712B6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15" w:name="正文段落_26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3 硫酸行业低碳节能核心技术体系</w:t>
      </w:r>
      <w:bookmarkEnd w:id="15"/>
    </w:p>
    <w:p w14:paraId="03E99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6" w:name="正文段落_28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3.1 全流程余热梯级回收与高效利用</w:t>
      </w:r>
      <w:bookmarkEnd w:id="16"/>
    </w:p>
    <w:p w14:paraId="5EB43C23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17" w:name="正文段落_30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余热是硫酸行业最大的“隐性能源”，且自然地覆盖高温（900 - 1050℃）、中温（400 - 600℃）、低温（&lt;200℃）三个温位段，因此建设“高温发电、中温产汽、低温预热/制冷”的梯级利用网络就是提高能效的最明确、最有效的方向。</w:t>
      </w:r>
      <w:bookmarkEnd w:id="17"/>
    </w:p>
    <w:p w14:paraId="1926507A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18" w:name="正文段落_32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由于高温余热回收已在硫铁矿沸腾炉、硫磺焚硫炉出口都配置了膜式壁废热锅炉，故能可靠、高效地生产3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.82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MPa、450℃ 的中高压蒸汽，驱动背压式汽轮机发电，因而吨酸副产蒸汽≥ 1. 2吨，整体热效率已达90% 以上。与此形成极好补充的是中温余热利用部分，即用转化段气- 气换热器预热进转化器SO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烟气，降低触媒启动能耗，同时回收转化反应热产低压蒸汽供厂区使用。</w:t>
      </w:r>
      <w:bookmarkEnd w:id="18"/>
    </w:p>
    <w:p w14:paraId="013C81D6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19" w:name="正文段落_34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低温位余热回收（HRS）是目前技术突破最成功的例子：在干吸工序设置低温热回收系统回收吸收反应热（占总反应热的25%），即可把能量回收率从70% 提高到94%。以100万吨/年硫磺制酸装置为例，HRS系统年减排CO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达29万吨，电力净输出率提高30%，对更低品位（60 - 100℃）的余热，宜采用溴化锂吸收式制冷机组或有机朗肯循环（ORC）发电技术，把本来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排放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的低温热水转化为冷量或电力，故吨酸综合能耗可再降低5%- 8%。</w:t>
      </w:r>
      <w:bookmarkEnd w:id="19"/>
    </w:p>
    <w:p w14:paraId="5CCED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0" w:name="一级标题_8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3.2高效催化与工艺深度优化</w:t>
      </w:r>
      <w:bookmarkEnd w:id="20"/>
    </w:p>
    <w:p w14:paraId="66BD6454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21" w:name="正文段落_36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两转两吸深度转化已经是新建装置的强制要求，因此能可靠地使SO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转化率达到≥ 99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.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8%，尾气SO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浓度≤ 50mg/m³，比一转一吸工艺减排90%以上，硫回收率已达99.9%。与此相辅相成的是，高效钒催化剂的研发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成功把触媒起燃温度降低到360℃，既降低了预热能耗，又更有利于应对低浓度SO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烟气的波动工况。在尾气治理方面，湿法脱硫耦合脱硝技术（镁法/氨法/石灰- 石膏法）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能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自然、高效地实现SO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、NO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X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、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酸雾的协同治理，副产硫酸铵或石膏均可很好地资源化利用。更重要的是，目前绿电与绿氢替代的研究已取得实质性进展：绿电驱动风机、泵类等大功率负载，绿氢部分替代硫磺燃烧，理论上可将碳排放强度降至0.48tC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/t酸以下，降幅达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63.6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%。</w:t>
      </w:r>
      <w:bookmarkEnd w:id="21"/>
    </w:p>
    <w:p w14:paraId="77A24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2" w:name="一级标题_10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3.3 设备节能与系统降压减阻</w:t>
      </w:r>
      <w:bookmarkEnd w:id="22"/>
    </w:p>
    <w:p w14:paraId="038EBB51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</w:pPr>
      <w:bookmarkStart w:id="23" w:name="正文段落_38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设备层面的精细化能效管理是整个系统优化的基础，因此文中所论措施各有不同：高效变频设备广泛使用后，主风机、酸泵、循环水泵均可按负荷实时调节转速，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使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电耗降低了15%-25%。系统降压减阻以优化管道走向、增大塔器直径、采用低阻力填料等手段，使系统总阻力降低10%以上，相应地减轻风机负荷。密闭化及保温升级既减少了散热损失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又很好地抑制了无组织排放。更难得的是硫铁矿制酸装置所采取的废酸掺烧协同工艺：将废硫酸喷入沸腾炉用其水分蒸发调炉温，同时让废酸中有机物及重金属充分分解，废酸分解率已达98%，由此节约硫铁矿30%，吨酸电耗从100kWh降至80kWh</w:t>
      </w:r>
      <w:bookmarkEnd w:id="23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。</w:t>
      </w:r>
    </w:p>
    <w:p w14:paraId="0B97A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24" w:name="一级标题_12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3.4数字化智能管控</w:t>
      </w:r>
      <w:bookmarkEnd w:id="24"/>
    </w:p>
    <w:p w14:paraId="4E20F35A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25" w:name="正文段落_40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以工业人工智能（AI）、先进过程控制（APC）及集散控制系统（DCS）为三大支柱来建设智能工厂，湖北三宁化工的硫酸装置操作模式已经得到十分有序、合理的重塑，因此该厂硫酸装置现已实现连续无人值守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eastAsia="zh-CN"/>
        </w:rPr>
        <w:t>【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eastAsia="zh-CN"/>
        </w:rPr>
        <w:t>】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，人工操作频次从日均1600次降到了10次以内，综合能耗降低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15%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 xml:space="preserve"> ，年增效1700万元。更难得的是，AI模型对转化器各段温度、吸收塔酸温、烟气氧含量诸参数做实时精准调控，使转化器温度波动缩小40%，蒸汽产量提高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2.8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%，硫磺消耗明显下降。能源管理系统（EMS）对吨酸能耗、碳排放做到实时核算、异常预警、闭环整改，真正为能效改进打好基础。</w:t>
      </w:r>
      <w:bookmarkEnd w:id="25"/>
    </w:p>
    <w:p w14:paraId="769C3888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以工业人工智能（AI）、先进过程控制（APC）及集散控制系统（DCS）为三大支柱来建设智能工厂，湖北三宁化工的硫酸装置操作模式已经得到十分有序、合理的重塑，因此该厂硫酸装置现已实现连续无人值守，人工操作频次从日均1600次降到了10次以内，综合能耗降低1. 5%，年增效1700万元。更难得的是，AI模型对转化器各段温度、吸收塔酸温、烟气氧含量诸参数做实时精准调控，使转化器温度波动缩小40%，蒸汽产量提高2. 8%，硫磺消耗明显下降。能源管理系统（EMS）对吨酸能耗、碳排放做到实时核算、异常预警、闭环整改，真正为能效改进打好基础。</w:t>
      </w:r>
    </w:p>
    <w:p w14:paraId="5C217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26" w:name="正文段落_42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4 资源综合利用技术路线</w:t>
      </w:r>
      <w:bookmarkEnd w:id="26"/>
    </w:p>
    <w:p w14:paraId="2931A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27" w:name="正文段落_44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4.1 废硫酸再生与循环利用</w:t>
      </w:r>
      <w:bookmarkEnd w:id="27"/>
    </w:p>
    <w:p w14:paraId="12C8F46A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28" w:name="正文段落_46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废硫酸主要来自钛白粉生产、钢铁酸洗、烷基化及锂电池回收领域，而传统石灰中和处置方法既造成硫资源的极大浪费，又产生大量二次危废，因此高温裂解法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eastAsia="zh-CN"/>
        </w:rPr>
        <w:t>【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eastAsia="zh-CN"/>
        </w:rPr>
        <w:t>】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（800-1000℃）是极其理想的选择：将废酸裂解为SO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2、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和H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O,再经净化、转化、吸收工序重新制得浓硫酸，有机杂质去除率高达99.9%，再生酸浓度≥98%，故特别适合高杂质废酸的处理。与此形成极好补充的是多效真空浓缩技术，适用于低杂质废酸，可将稀酸蒸发浓缩至50%- 65%回用生产，且较单效蒸发能耗降低30%。更难得的是膜分离/膜析技术能选择性、高效地截留Fe、Cu、Ni等重金属离子，去除率90%-99%，酸回收率80%-90%，能耗极低。从园区整体角度出发，将废酸直接管道输送至硫酸装置再生，即可自然、合理地形成“废酸- 再生酸- 生产”的闭环循环，相应的处置成本因此降低70%。</w:t>
      </w:r>
      <w:bookmarkEnd w:id="28"/>
    </w:p>
    <w:p w14:paraId="183E8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29" w:name="正文段落_83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4.2 烧渣高值化利用</w:t>
      </w:r>
      <w:bookmarkEnd w:id="29"/>
    </w:p>
    <w:p w14:paraId="0F0708B4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30" w:name="正文段落_48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硫铁矿制酸所得的烧渣含铁55%- 65%，因此是十分理想的二次铁资源，用磨矿- 磁选法可获得TFe≥65% 的铁精粉，很自然地用作烧结球团原料。而更高附加值的路径是直接还原铁（DRI）：将烧渣在高温下还原制备高纯还原铁，其产品附加值比常规产品提高3- 5倍，年利润可达亿元级。更难得的是，含铜、锌、钴、金、银等有价金属的烧渣可用浮选-浸出-萃取工艺实现“吃干榨净”。</w:t>
      </w:r>
      <w:bookmarkEnd w:id="30"/>
    </w:p>
    <w:p w14:paraId="3109E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31" w:name="正文段落_84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4.3工业副产石膏制酸联产建材</w:t>
      </w:r>
      <w:bookmarkEnd w:id="31"/>
    </w:p>
    <w:p w14:paraId="53BA4056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32" w:name="正文段落_50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由于磷石膏、脱硫石膏等工业副产石膏全国堆存量已达8亿吨，环境压力十分突出，故而石膏制酸联产水泥/胶凝材料技术有极好的应用价值：该技术将石膏中所含的CaSO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4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高温还原分解，用所得SO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制酸，剩余的CaO与硅铝质材料反应生成水泥熟料或胶凝材料。鲁北化工已有消纳磷石膏70万吨/年的装置，年产硫酸30万吨、水泥30万吨，吨酸能耗345kgce,各项指标均已达到国标一级。与此形成极佳示范的是贵州磷化集团的“1468”装置，每年消纳磷石膏140万吨，产硫酸60万吨、胶凝材料80万吨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eastAsia="zh-CN"/>
        </w:rPr>
        <w:t>【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val="en-US" w:eastAsia="zh-CN"/>
        </w:rPr>
        <w:t>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perscript"/>
          <w:rtl w:val="0"/>
          <w:cs w:val="0"/>
          <w:lang w:eastAsia="zh-CN"/>
        </w:rPr>
        <w:t>】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，且采用AI优化控制实现长周期稳定、高效运行。</w:t>
      </w:r>
      <w:bookmarkEnd w:id="32"/>
    </w:p>
    <w:p w14:paraId="47C29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33" w:name="正文段落_52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5 工程实证：三环中化热平衡优化项目的介绍</w:t>
      </w:r>
      <w:bookmarkEnd w:id="33"/>
    </w:p>
    <w:p w14:paraId="22665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34" w:name="一级标题_18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5.1改造前能效瓶颈与夹点分析</w:t>
      </w:r>
      <w:bookmarkEnd w:id="34"/>
    </w:p>
    <w:p w14:paraId="6FF906BF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35" w:name="正文段落_54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三环中化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硫酸装置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针对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改造前明显存在能量梯级利用不足的问题，即硫酸换热器中热源（浓硫酸）出口温度150-154℃与冷源（脱盐水）出口温度95-101℃之间温差达15℃以上，与“温度对口、梯级利用”的基本能量利用原则存在差异：2#省煤器来的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（160 -165℃）在二吸塔中反应后被冷却到76-81℃，其所含热量完全由循环酸带走并最终由酸冷器排入大气。更严重的是，未回收的诸种热量都汇入循环酸泵槽，故两期装置合计循环水耗量高达1780t/h,造成水泵电耗、水耗两重浪费。</w:t>
      </w:r>
      <w:bookmarkEnd w:id="35"/>
    </w:p>
    <w:p w14:paraId="2BDB6BA4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36" w:name="正文段落_56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由于基于夹点技术的系统优化方法把原来孤立看待的“产热单元”和“用热单元”都自然、合理地纳入统一的热网络予以考察，因此很容易、明确地找到了SO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烟气节点（160-165℃降至117℃左右）及浓硫酸节点（154℃进一步降温产汽）两处重大的热回收机会，经初步核算可多产0.26MPa低压蒸汽15t/h,年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可增产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蒸汽为10.95万吨。</w:t>
      </w:r>
      <w:bookmarkEnd w:id="36"/>
    </w:p>
    <w:p w14:paraId="08ACA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37" w:name="一级标题_20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5.2改造方案与关键设备选型</w:t>
      </w:r>
      <w:bookmarkEnd w:id="37"/>
    </w:p>
    <w:p w14:paraId="3018D732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38" w:name="正文段落_58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项目设计了三项核心改造流程：SO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烟气旁路热回收的工艺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比较科学、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合理：从2#省煤器引出的高温SO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烟气先进入新增的1#蒸发器，把烟气温度从165℃降到117℃，所回收的热量用来生产0.125 MPa的低压饱和蒸汽，降温后的SO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烟气继而进入二吸塔吸收，由于入塔温度降低，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还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能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起到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抑制酸雾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的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生成，真正做到环保与节能两者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兼顾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。浓硫酸串联深度降温的设计也很巧妙：原直接进入硫酸换热器的154℃浓硫酸先被引入2#蒸发器，先作深度产汽降温至120℃左右，再进入高效硫酸换热器加热脱盐水。因此其“先产汽、后换热”的串行流程完美地实现了高温段（&gt;120℃）用于产汽、中温段（120 - 100℃）用于预热脱盐水的能量梯级利用。脱盐水系统温位提升方面也有极好的优化：更换高效硫酸换热器后，脱盐水出口温度从97℃ 提高到102℃，高温脱盐水进入除氧器后便能大幅度减少低压蒸汽的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消耗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量。</w:t>
      </w:r>
      <w:bookmarkEnd w:id="38"/>
    </w:p>
    <w:p w14:paraId="103D55E6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39" w:name="正文段落_60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由于本项目在关键设备选型上严格执行国家能效标准，故其蒸汽压缩机选用单级离心式形式，把0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.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125 MPa饱和蒸汽升压至0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.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262 MPa、160℃ 的过热蒸汽，由此自然、合理地把低品位“湿蒸汽”提升为可直接并入工艺管网的“干蒸汽”。所有新增电机（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如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315kW、450kW等）都选用高效节能电机并配套变频或软启动装置。</w:t>
      </w:r>
      <w:bookmarkEnd w:id="39"/>
    </w:p>
    <w:p w14:paraId="0D5B7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40" w:name="一级标题_22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5.3综合能效与碳排放效益</w:t>
      </w:r>
      <w:bookmarkEnd w:id="40"/>
    </w:p>
    <w:p w14:paraId="7F49BB58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41" w:name="正文段落_62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根据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三环中化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2025年能源利用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情况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，实施技改后硫酸装置单位产品综合能耗已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控制在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 xml:space="preserve"> -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0.178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 xml:space="preserve"> tce/t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酸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（负能耗），远优于国家限额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1级指标≤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-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0.160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tce/t。项目新增年综合能源消费量（当量值）为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1203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tce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而通过余热回收年节约标准煤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10336.8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tce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净节能效益达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9132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tce/年。项目年产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10.95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万吨低压蒸汽，若由天然气锅炉替代将产生约 30250tCO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；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而项目自身的电力碳排放仅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1305.7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tCO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subscript"/>
          <w:rtl w:val="0"/>
          <w:cs w:val="0"/>
          <w:lang w:val="en-US" w:eastAsia="zh-CN"/>
        </w:rPr>
        <w:t>2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碳减排杠杆效应极为显著。循环水系统实现源头减量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178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t/h ，年节水约 1300万吨，相应减少循环水站水泵运行功率和冷却风机耗电，形成“节电-节水-减碳”的连锁增益。</w:t>
      </w:r>
      <w:bookmarkEnd w:id="41"/>
    </w:p>
    <w:p w14:paraId="4D8EFC94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42" w:name="正文段落_66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三环中化的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始终践行节能降碳-资源综合的宗旨，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自觉、主动地运用资源综合利用的系统思维，先以提高脱盐水温度的方式实现“热法节水”，因而形成水- 热联产。副产蒸汽除工艺用外，有明确、合理的用途：2025年余热发电已达14407万kWh,遂能自然地做到热- 电- 冷多联供。更难得的是，硫酸装置产出的低压蒸汽用于磷酸浓缩，磷酸副产的磷石膏经改性处理后直接回填遗留磷矿矿坑，由此形成了“硫-磷-石膏-矿山修复”的完整闭环循环经济链条。与此相辅相成的是，企业把能源管理体系与碳管理体系真正融合，以能耗在线监测系统对关键设备能效实施实时监控，因此连续多年获得能效“领跑者”称号。</w:t>
      </w:r>
      <w:bookmarkEnd w:id="42"/>
    </w:p>
    <w:p w14:paraId="42785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43" w:name="一级标题序号_2"/>
      <w:bookmarkStart w:id="44" w:name="一级标题_24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 xml:space="preserve">6  </w:t>
      </w:r>
      <w:bookmarkEnd w:id="43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挑战与展望</w:t>
      </w:r>
      <w:bookmarkEnd w:id="44"/>
    </w:p>
    <w:p w14:paraId="1CEE37E0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45" w:name="正文段落_68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虽然技术进步不可逆转，但硫酸行业中小装置工艺落后，改造资金困难，废酸、烧渣跨区域循环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使用仍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受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到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制约，绿电绿氢成本尚高，碳核算、碳足迹标准尚未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开始实施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，高端再生酸提纯技术仍存在不足。</w:t>
      </w:r>
      <w:bookmarkEnd w:id="45"/>
    </w:p>
    <w:p w14:paraId="15A53933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46" w:name="正文段落_70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面向“十五五”，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建议硫酸行业：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首先，超低温余热发电技术，即开发适用于80℃以下热源的ORC发电技术，把吸收塔出口低温酸的热量充分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进行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回收利用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；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其次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电气化与绿氢替代，鉴于绿电成本持续下降，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建议积极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探索用电锅炉、电加热器替代部分化石能源供热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；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再次，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智慧能碳大脑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加快应用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，以数字孪生技术为基础，建设全厂蒸汽、电力、水平衡各系统的动态优化模型，做到秒级响应、前瞻调控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；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还有，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是高端化突破，开发电池级、电子级高纯硫酸再生技术，直接服务新能源及半导体产业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eastAsia="zh-CN"/>
        </w:rPr>
        <w:t>；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最后，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是产业链协同，系统、有序地构建“硫酸-冶炼-磷肥-化工园区”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循环产业链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，让废酸、余热、固废都得到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有效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梯级利用。</w:t>
      </w:r>
      <w:bookmarkEnd w:id="46"/>
    </w:p>
    <w:p w14:paraId="50BF3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</w:pPr>
      <w:bookmarkStart w:id="47" w:name="一级标题序号_3"/>
      <w:bookmarkStart w:id="48" w:name="一级标题_26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 xml:space="preserve">7  </w:t>
      </w:r>
      <w:bookmarkEnd w:id="47"/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结论</w:t>
      </w:r>
      <w:bookmarkEnd w:id="48"/>
    </w:p>
    <w:p w14:paraId="07650710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49" w:name="正文段落_72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由于本文对硫酸行业低碳节能、资源综合利用技术作了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思考和预测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，主要以云南三环中化化肥有限公司的工程为例进行阐述，得出以下结论：</w:t>
      </w:r>
      <w:bookmarkEnd w:id="49"/>
    </w:p>
    <w:p w14:paraId="11BFE56C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（1）技术路径清晰可行：由于用夹点技术做了热平衡优化，在SO ₃ 烟气及浓硫酸系统中增设蒸发器，因而能十分合理、高效地回收低温位余热，故能多产低压蒸汽15 t/h,又节约循环水1780 t/h,因此该项技术成熟可靠，对国内多数大中型硫磺制酸装置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可以借鉴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 xml:space="preserve">。 </w:t>
      </w:r>
    </w:p>
    <w:p w14:paraId="6C8884CC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50" w:name="正文段落_76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（2）能效领跑者的路径十分清楚：由于硫酸装置充分、合理地回收余热，故能实现单位产品综合能耗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-0.178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 xml:space="preserve"> tce/t的“负能耗”运行，大大优于国家1级能效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指标值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；全流程余热梯级利用、高效催化、设备节能、智能管控四大技术体系彼此协同、互为补充，因此硫磺制酸综合能耗降低显著，碳排放强度比传统工艺降低40%-65%。</w:t>
      </w:r>
      <w:bookmarkEnd w:id="50"/>
    </w:p>
    <w:p w14:paraId="26C1D682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51" w:name="正文段落_78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（3）由于资源综合利用形成了十分明确、严密的闭环，故废酸再生、烧渣高值化、烟气硫回收、副产石膏制酸联产建材诸种技术路线能很好地衔接，因此固废资源化率已达90% 以上，硫酸装置也自然地从“高耗能产业”转变为“资源循环枢纽”。</w:t>
      </w:r>
      <w:bookmarkEnd w:id="51"/>
    </w:p>
    <w:p w14:paraId="564C6CB9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52" w:name="正文段落_80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（4）由于三环中化项目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实施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后年净节约标准煤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超过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9000 tce,故其碳减排效应十分突出，因此行业综合成本降低了50-200元/吨酸，而副产蒸汽、再生酸、铁精粉又都是新的收入来源。</w:t>
      </w:r>
      <w:bookmarkEnd w:id="52"/>
    </w:p>
    <w:p w14:paraId="2DF42AB8">
      <w:pPr>
        <w:pStyle w:val="48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left="0" w:right="0" w:firstLine="420" w:firstLineChars="200"/>
        <w:jc w:val="both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53" w:name="正文段落_82"/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综上所述，由于硫酸行业低碳转型必然要打破惯性思维，其根本途径是流程再造、设备升级、智慧管理三位一体，把每一卡热量、每一份资源都用到极致。因此本文所论述的技术路径及工程模式对硫酸工业整体能效提升、达成“双碳”目标都有极好的示范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  <w:lang w:val="en-US" w:eastAsia="zh-CN"/>
        </w:rPr>
        <w:t>效应</w:t>
      </w:r>
      <w:r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  <w:t>。</w:t>
      </w:r>
      <w:bookmarkEnd w:id="53"/>
    </w:p>
    <w:p w14:paraId="0B3ABCDB">
      <w:pPr>
        <w:pStyle w:val="51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Lines="0" w:after="0" w:afterLines="0" w:line="400" w:lineRule="exact"/>
        <w:ind w:left="0" w:right="0" w:firstLine="0"/>
        <w:jc w:val="center"/>
        <w:textAlignment w:val="auto"/>
        <w:rPr>
          <w:rStyle w:val="19"/>
          <w:rFonts w:hint="eastAsia" w:ascii="宋体" w:hAnsi="宋体" w:eastAsia="宋体" w:cs="宋体"/>
          <w:b w:val="0"/>
          <w:bCs w:val="0"/>
          <w:i w:val="0"/>
          <w:caps w:val="0"/>
          <w:smallCaps w:val="0"/>
          <w:strike w:val="0"/>
          <w:dstrike w:val="0"/>
          <w:vanish w:val="0"/>
          <w:color w:val="auto"/>
          <w:spacing w:val="0"/>
          <w:w w:val="100"/>
          <w:kern w:val="2"/>
          <w:position w:val="0"/>
          <w:sz w:val="21"/>
          <w:szCs w:val="21"/>
          <w:highlight w:val="none"/>
          <w:u w:val="none" w:color="auto"/>
          <w:vertAlign w:val="baseline"/>
          <w:rtl w:val="0"/>
          <w:cs w:val="0"/>
        </w:rPr>
      </w:pPr>
      <w:bookmarkStart w:id="54" w:name="参考文献_2"/>
    </w:p>
    <w:p w14:paraId="63FF7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rtl w:val="0"/>
          <w:cs w:val="0"/>
          <w:lang w:val="en-US" w:eastAsia="zh-CN"/>
        </w:rPr>
        <w:t>参考文献</w:t>
      </w:r>
      <w:bookmarkEnd w:id="54"/>
    </w:p>
    <w:p w14:paraId="0B23B245">
      <w:pPr>
        <w:pStyle w:val="52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bookmarkStart w:id="55" w:name="参考文献内容_2"/>
      <w:r>
        <w:rPr>
          <w:rFonts w:hint="eastAsia" w:ascii="宋体" w:hAnsi="宋体" w:eastAsia="宋体" w:cs="宋体"/>
          <w:i w:val="0"/>
          <w:caps w:val="0"/>
          <w:vanish w:val="0"/>
          <w:sz w:val="21"/>
          <w:szCs w:val="21"/>
          <w:vertAlign w:val="baseline"/>
        </w:rPr>
        <w:t>G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B 29141 - 2024 ,工业硫酸、稀硝酸和冰醋酸单位产品能源消耗限额[S].</w:t>
      </w:r>
      <w:bookmarkEnd w:id="55"/>
    </w:p>
    <w:p w14:paraId="34C4244F">
      <w:pPr>
        <w:pStyle w:val="52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bookmarkStart w:id="56" w:name="参考文献内容_4"/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GB/T 36380 - 2025 ,工业废硫酸的处理处置规范[S].</w:t>
      </w:r>
      <w:bookmarkEnd w:id="56"/>
    </w:p>
    <w:p w14:paraId="18C1B719">
      <w:pPr>
        <w:pStyle w:val="52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bookmarkStart w:id="57" w:name="参考文献内容_6"/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HJ 1335 - 2023 ,硫酸工业污染防治技术规范[S].</w:t>
      </w:r>
      <w:bookmarkEnd w:id="57"/>
    </w:p>
    <w:p w14:paraId="58855AF8">
      <w:pPr>
        <w:pStyle w:val="52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bookmarkStart w:id="58" w:name="参考文献内容_8"/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GB/T 32151 . 54 - 2025 ,温室气体排放核算与报告要求第 54 部分:工业硫酸企业[S].</w:t>
      </w:r>
      <w:bookmarkEnd w:id="58"/>
    </w:p>
    <w:p w14:paraId="68DF90E2">
      <w:pPr>
        <w:pStyle w:val="52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bookmarkStart w:id="59" w:name="参考文献内容_10"/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国家发展和改革委员会 . 固定资产投资项目节能审查和碳排放评价办法(第 31 号令)[Z]. 2025 .</w:t>
      </w:r>
      <w:bookmarkEnd w:id="59"/>
    </w:p>
    <w:p w14:paraId="01B6CCF8">
      <w:pPr>
        <w:pStyle w:val="52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bookmarkStart w:id="60" w:name="参考文献内容_12"/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工业和信息化部,发展改革委,生态环境部 . 工业领域碳达峰实施方案[Z]. 2022 .</w:t>
      </w:r>
      <w:bookmarkEnd w:id="60"/>
    </w:p>
    <w:p w14:paraId="4D587930">
      <w:pPr>
        <w:pStyle w:val="52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中国硫酸工业协会 . 2026硫酸行业分析及展望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(铜业大会</w:t>
      </w:r>
      <w:bookmarkStart w:id="61" w:name="参考文献内容_14"/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).2026.</w:t>
      </w:r>
    </w:p>
    <w:bookmarkEnd w:id="61"/>
    <w:p w14:paraId="4D06125C">
      <w:pPr>
        <w:pStyle w:val="52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62" w:name="参考文献内容_16"/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[8]国家工业节能降碳技术应用指南与案例 ( 2024 年版 )[S]. 工业和信息化部,2024 .</w:t>
      </w:r>
      <w:bookmarkEnd w:id="62"/>
    </w:p>
    <w:p w14:paraId="05ECA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DF7A32"/>
    <w:multiLevelType w:val="singleLevel"/>
    <w:tmpl w:val="23DF7A32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98782A"/>
    <w:rsid w:val="08BA0844"/>
    <w:rsid w:val="091A7E4E"/>
    <w:rsid w:val="09931095"/>
    <w:rsid w:val="09F00295"/>
    <w:rsid w:val="0A4B20AA"/>
    <w:rsid w:val="0AEE6ECB"/>
    <w:rsid w:val="0AFF2E86"/>
    <w:rsid w:val="0B664CB3"/>
    <w:rsid w:val="0C0E77A3"/>
    <w:rsid w:val="0C2B45A8"/>
    <w:rsid w:val="0C580AA0"/>
    <w:rsid w:val="0C792F95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6B438E"/>
    <w:rsid w:val="0E792F4F"/>
    <w:rsid w:val="0EAD12BB"/>
    <w:rsid w:val="0EC8358F"/>
    <w:rsid w:val="0EFE09EB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32D77"/>
    <w:rsid w:val="16B8213B"/>
    <w:rsid w:val="16D2144F"/>
    <w:rsid w:val="17836BED"/>
    <w:rsid w:val="178C5AA1"/>
    <w:rsid w:val="17AD77C6"/>
    <w:rsid w:val="17D007DC"/>
    <w:rsid w:val="180933FC"/>
    <w:rsid w:val="185C6006"/>
    <w:rsid w:val="18616F2E"/>
    <w:rsid w:val="189746FE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487F31"/>
    <w:rsid w:val="1B6F3710"/>
    <w:rsid w:val="1C250273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867FD4"/>
    <w:rsid w:val="259C77F7"/>
    <w:rsid w:val="262A3A04"/>
    <w:rsid w:val="269C7383"/>
    <w:rsid w:val="26B66697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9F55569"/>
    <w:rsid w:val="2A6D1762"/>
    <w:rsid w:val="2A9C2048"/>
    <w:rsid w:val="2AF37C49"/>
    <w:rsid w:val="2C1A3224"/>
    <w:rsid w:val="2C5F332D"/>
    <w:rsid w:val="2CDC497D"/>
    <w:rsid w:val="2D377E06"/>
    <w:rsid w:val="2D452523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407D2B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C5276A"/>
    <w:rsid w:val="39783C80"/>
    <w:rsid w:val="399551B1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A212CB"/>
    <w:rsid w:val="3DBB238D"/>
    <w:rsid w:val="3DBD6105"/>
    <w:rsid w:val="3DFF04CC"/>
    <w:rsid w:val="3E4405D4"/>
    <w:rsid w:val="3E9C5D1B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641264"/>
    <w:rsid w:val="41700BEB"/>
    <w:rsid w:val="426C3C56"/>
    <w:rsid w:val="42786A9F"/>
    <w:rsid w:val="42BC1743"/>
    <w:rsid w:val="42EE53FF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E81E53"/>
    <w:rsid w:val="48A028AB"/>
    <w:rsid w:val="48B545A9"/>
    <w:rsid w:val="495C0DBE"/>
    <w:rsid w:val="49CB1BAA"/>
    <w:rsid w:val="4A070E34"/>
    <w:rsid w:val="4A4F4589"/>
    <w:rsid w:val="4AB60164"/>
    <w:rsid w:val="4AC24D5B"/>
    <w:rsid w:val="4B8E06C7"/>
    <w:rsid w:val="4C934BC0"/>
    <w:rsid w:val="4CFB09F8"/>
    <w:rsid w:val="4D057181"/>
    <w:rsid w:val="4D447CA9"/>
    <w:rsid w:val="4D5123C6"/>
    <w:rsid w:val="4D551EB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F0911AA"/>
    <w:rsid w:val="4F78309C"/>
    <w:rsid w:val="4F7E394E"/>
    <w:rsid w:val="4FD8360F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5254864"/>
    <w:rsid w:val="553C395C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B5218E"/>
    <w:rsid w:val="5BFE5E0F"/>
    <w:rsid w:val="5C563FD3"/>
    <w:rsid w:val="5CAA564F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11148C"/>
    <w:rsid w:val="657B402C"/>
    <w:rsid w:val="65C07C91"/>
    <w:rsid w:val="66CA526B"/>
    <w:rsid w:val="67C12792"/>
    <w:rsid w:val="67DD0FCE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73653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C0720B"/>
    <w:rsid w:val="6FD23894"/>
    <w:rsid w:val="6FE23626"/>
    <w:rsid w:val="70135956"/>
    <w:rsid w:val="70383246"/>
    <w:rsid w:val="703D260A"/>
    <w:rsid w:val="7060279C"/>
    <w:rsid w:val="70626FA0"/>
    <w:rsid w:val="70756EB2"/>
    <w:rsid w:val="71E73078"/>
    <w:rsid w:val="7258197D"/>
    <w:rsid w:val="72C60FDD"/>
    <w:rsid w:val="72EB27F1"/>
    <w:rsid w:val="730241B0"/>
    <w:rsid w:val="731A1328"/>
    <w:rsid w:val="73587D13"/>
    <w:rsid w:val="743B50B2"/>
    <w:rsid w:val="74BF5CE3"/>
    <w:rsid w:val="750977D2"/>
    <w:rsid w:val="75263FB5"/>
    <w:rsid w:val="75693EA1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  <w:style w:type="paragraph" w:customStyle="1" w:styleId="45">
    <w:name w:val="（中）标题样式"/>
    <w:qFormat/>
    <w:uiPriority w:val="0"/>
    <w:pPr>
      <w:jc w:val="center"/>
    </w:pPr>
    <w:rPr>
      <w:rFonts w:ascii="Times New Roman" w:hAnsi="黑体" w:eastAsia="黑体" w:cs="Times New Roman"/>
      <w:kern w:val="2"/>
      <w:sz w:val="36"/>
      <w:szCs w:val="36"/>
      <w:lang w:val="en-US" w:eastAsia="zh-CN" w:bidi="ar-SA"/>
    </w:rPr>
  </w:style>
  <w:style w:type="paragraph" w:customStyle="1" w:styleId="46">
    <w:name w:val="（中）副标题样式"/>
    <w:basedOn w:val="1"/>
    <w:qFormat/>
    <w:uiPriority w:val="0"/>
    <w:pPr>
      <w:jc w:val="center"/>
    </w:pPr>
    <w:rPr>
      <w:rFonts w:eastAsia="楷体"/>
      <w:sz w:val="24"/>
      <w:szCs w:val="21"/>
    </w:rPr>
  </w:style>
  <w:style w:type="character" w:customStyle="1" w:styleId="47">
    <w:name w:val="（中）关键词样式"/>
    <w:qFormat/>
    <w:uiPriority w:val="0"/>
    <w:rPr>
      <w:rFonts w:ascii="Times New Roman" w:hAnsi="Times New Roman" w:eastAsia="宋体"/>
      <w:sz w:val="18"/>
    </w:rPr>
  </w:style>
  <w:style w:type="paragraph" w:customStyle="1" w:styleId="48">
    <w:name w:val="正文样式"/>
    <w:basedOn w:val="1"/>
    <w:qFormat/>
    <w:uiPriority w:val="0"/>
    <w:pPr>
      <w:autoSpaceDE w:val="0"/>
      <w:autoSpaceDN w:val="0"/>
      <w:ind w:firstLine="200" w:firstLineChars="200"/>
    </w:pPr>
  </w:style>
  <w:style w:type="paragraph" w:customStyle="1" w:styleId="49">
    <w:name w:val="一级标题样式"/>
    <w:qFormat/>
    <w:uiPriority w:val="0"/>
    <w:pPr>
      <w:spacing w:before="50" w:beforeLines="50" w:after="50" w:afterLines="50"/>
      <w:jc w:val="both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character" w:customStyle="1" w:styleId="50">
    <w:name w:val="一级标题序号样式"/>
    <w:basedOn w:val="19"/>
    <w:qFormat/>
    <w:uiPriority w:val="1"/>
    <w:rPr>
      <w:rFonts w:ascii="Times New Roman" w:hAnsi="Times New Roman" w:eastAsia="黑体"/>
      <w:sz w:val="24"/>
    </w:rPr>
  </w:style>
  <w:style w:type="paragraph" w:customStyle="1" w:styleId="51">
    <w:name w:val="参考文献样式"/>
    <w:basedOn w:val="1"/>
    <w:qFormat/>
    <w:uiPriority w:val="0"/>
    <w:pPr>
      <w:spacing w:before="50" w:beforeLines="50" w:after="50" w:afterLines="50"/>
    </w:pPr>
    <w:rPr>
      <w:rFonts w:eastAsia="黑体"/>
    </w:rPr>
  </w:style>
  <w:style w:type="paragraph" w:customStyle="1" w:styleId="5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7896</Words>
  <Characters>10281</Characters>
  <Lines>35</Lines>
  <Paragraphs>9</Paragraphs>
  <TotalTime>3</TotalTime>
  <ScaleCrop>false</ScaleCrop>
  <LinksUpToDate>false</LinksUpToDate>
  <CharactersWithSpaces>10692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2026-05-27T02:50:10Z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eyJoZGlkIjoiMDc5ZmMwZTNkY2FjMjU1Y2Y4ZTlkNzhjNmI4MDEyNjciLCJ1c2VySWQiOiI0NDQ3MDkxMjgifQ==</vt:lpwstr>
  </property>
</Properties>
</file>