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7E9B0">
      <w:pPr>
        <w:pStyle w:val="3"/>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p>
    <w:p w14:paraId="02F6788D">
      <w:pPr>
        <w:pStyle w:val="3"/>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r>
        <w:rPr>
          <w:rFonts w:hint="eastAsia" w:ascii="隶书" w:hAnsi="隶书" w:eastAsia="隶书" w:cs="隶书"/>
          <w:lang w:val="en-US" w:eastAsia="zh-CN"/>
        </w:rPr>
        <w:t>冶炼烟气制酸低温余热回收系统构建</w:t>
      </w:r>
    </w:p>
    <w:p w14:paraId="266053F4">
      <w:pPr>
        <w:pStyle w:val="3"/>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r>
        <w:rPr>
          <w:rFonts w:hint="eastAsia" w:ascii="隶书" w:hAnsi="隶书" w:eastAsia="隶书" w:cs="隶书"/>
          <w:lang w:val="en-US" w:eastAsia="zh-CN"/>
        </w:rPr>
        <w:t>与节能实践</w:t>
      </w:r>
    </w:p>
    <w:p w14:paraId="0469E79E">
      <w:pPr>
        <w:pStyle w:val="3"/>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default"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苏江峰，鲍怡杰</w:t>
      </w:r>
    </w:p>
    <w:p w14:paraId="78180209">
      <w:pPr>
        <w:pStyle w:val="3"/>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国投金城冶金有限责任公司</w:t>
      </w:r>
    </w:p>
    <w:p w14:paraId="65E98E65">
      <w:pPr>
        <w:pStyle w:val="7"/>
        <w:pageBreakBefore w:val="0"/>
        <w:kinsoku/>
        <w:wordWrap/>
        <w:overflowPunct/>
        <w:topLinePunct w:val="0"/>
        <w:autoSpaceDE/>
        <w:autoSpaceDN/>
        <w:bidi w:val="0"/>
        <w:spacing w:after="0" w:afterLines="0" w:line="400" w:lineRule="exact"/>
        <w:rPr>
          <w:rFonts w:hint="eastAsia" w:ascii="宋体" w:hAnsi="宋体" w:eastAsia="宋体" w:cs="宋体"/>
          <w:color w:val="auto"/>
          <w:sz w:val="21"/>
          <w:szCs w:val="21"/>
          <w:vertAlign w:val="baseline"/>
          <w:lang w:eastAsia="zh-CN"/>
        </w:rPr>
      </w:pPr>
    </w:p>
    <w:p w14:paraId="78232451">
      <w:pPr>
        <w:pStyle w:val="7"/>
        <w:pageBreakBefore w:val="0"/>
        <w:kinsoku/>
        <w:wordWrap/>
        <w:overflowPunct/>
        <w:topLinePunct w:val="0"/>
        <w:autoSpaceDE/>
        <w:autoSpaceDN/>
        <w:bidi w:val="0"/>
        <w:spacing w:after="0" w:afterLines="0" w:line="400" w:lineRule="exact"/>
        <w:ind w:firstLine="420" w:firstLineChars="20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eastAsia="zh-CN"/>
        </w:rPr>
        <w:t>某金铜冶炼企业</w:t>
      </w:r>
      <w:r>
        <w:rPr>
          <w:rFonts w:hint="eastAsia" w:ascii="宋体" w:hAnsi="宋体" w:eastAsia="宋体" w:cs="宋体"/>
          <w:color w:val="auto"/>
          <w:sz w:val="21"/>
          <w:szCs w:val="21"/>
          <w:u w:val="none"/>
          <w:vertAlign w:val="baseline"/>
        </w:rPr>
        <w:t>多金属综合回收项目，</w:t>
      </w:r>
      <w:r>
        <w:rPr>
          <w:rFonts w:hint="eastAsia" w:ascii="宋体" w:hAnsi="宋体" w:eastAsia="宋体" w:cs="宋体"/>
          <w:color w:val="auto"/>
          <w:sz w:val="21"/>
          <w:szCs w:val="21"/>
          <w:u w:val="none"/>
          <w:vertAlign w:val="baseline"/>
          <w:lang w:val="en-US" w:eastAsia="zh-CN"/>
        </w:rPr>
        <w:t>应用于</w:t>
      </w:r>
      <w:r>
        <w:rPr>
          <w:rFonts w:hint="eastAsia" w:ascii="宋体" w:hAnsi="宋体" w:eastAsia="宋体" w:cs="宋体"/>
          <w:color w:val="auto"/>
          <w:sz w:val="21"/>
          <w:szCs w:val="21"/>
          <w:u w:val="none"/>
          <w:vertAlign w:val="baseline"/>
        </w:rPr>
        <w:t>处理复杂难处理精矿</w:t>
      </w:r>
      <w:r>
        <w:rPr>
          <w:rFonts w:hint="eastAsia" w:ascii="宋体" w:hAnsi="宋体" w:eastAsia="宋体" w:cs="宋体"/>
          <w:color w:val="auto"/>
          <w:sz w:val="21"/>
          <w:szCs w:val="21"/>
          <w:u w:val="none"/>
          <w:vertAlign w:val="baseline"/>
          <w:lang w:eastAsia="zh-CN"/>
        </w:rPr>
        <w:t>。</w:t>
      </w:r>
      <w:r>
        <w:rPr>
          <w:rFonts w:hint="eastAsia" w:ascii="宋体" w:hAnsi="宋体" w:eastAsia="宋体" w:cs="宋体"/>
          <w:color w:val="auto"/>
          <w:sz w:val="21"/>
          <w:szCs w:val="21"/>
          <w:u w:val="none"/>
          <w:vertAlign w:val="baseline"/>
        </w:rPr>
        <w:t>该项目</w:t>
      </w:r>
      <w:r>
        <w:rPr>
          <w:rFonts w:hint="eastAsia" w:ascii="宋体" w:hAnsi="宋体" w:eastAsia="宋体" w:cs="宋体"/>
          <w:color w:val="auto"/>
          <w:sz w:val="21"/>
          <w:szCs w:val="21"/>
          <w:u w:val="none"/>
          <w:vertAlign w:val="baseline"/>
          <w:lang w:val="en-US" w:eastAsia="zh-CN"/>
        </w:rPr>
        <w:t>设计</w:t>
      </w:r>
      <w:r>
        <w:rPr>
          <w:rFonts w:hint="eastAsia" w:ascii="宋体" w:hAnsi="宋体" w:eastAsia="宋体" w:cs="宋体"/>
          <w:color w:val="auto"/>
          <w:sz w:val="21"/>
          <w:szCs w:val="21"/>
          <w:u w:val="none"/>
          <w:vertAlign w:val="baseline"/>
        </w:rPr>
        <w:t>处理规模2000</w:t>
      </w:r>
      <w:r>
        <w:rPr>
          <w:rFonts w:hint="eastAsia" w:ascii="宋体" w:hAnsi="宋体" w:eastAsia="宋体" w:cs="宋体"/>
          <w:color w:val="auto"/>
          <w:sz w:val="21"/>
          <w:szCs w:val="21"/>
          <w:u w:val="none"/>
          <w:vertAlign w:val="baseline"/>
          <w:lang w:val="en-US" w:eastAsia="zh-CN"/>
        </w:rPr>
        <w:t xml:space="preserve"> t/d</w:t>
      </w:r>
      <w:r>
        <w:rPr>
          <w:rFonts w:hint="eastAsia" w:ascii="宋体" w:hAnsi="宋体" w:eastAsia="宋体" w:cs="宋体"/>
          <w:color w:val="auto"/>
          <w:sz w:val="21"/>
          <w:szCs w:val="21"/>
          <w:u w:val="none"/>
          <w:vertAlign w:val="baseline"/>
        </w:rPr>
        <w:t>，采用“富氧底吹</w:t>
      </w:r>
      <w:r>
        <w:rPr>
          <w:rFonts w:hint="eastAsia" w:ascii="宋体" w:hAnsi="宋体" w:eastAsia="宋体" w:cs="宋体"/>
          <w:color w:val="auto"/>
          <w:sz w:val="21"/>
          <w:szCs w:val="21"/>
          <w:u w:val="none"/>
          <w:vertAlign w:val="baseline"/>
          <w:lang w:val="en-US" w:eastAsia="zh-CN"/>
        </w:rPr>
        <w:t>三联炉</w:t>
      </w:r>
      <w:r>
        <w:rPr>
          <w:rFonts w:hint="eastAsia" w:ascii="宋体" w:hAnsi="宋体" w:eastAsia="宋体" w:cs="宋体"/>
          <w:color w:val="auto"/>
          <w:sz w:val="21"/>
          <w:szCs w:val="21"/>
          <w:u w:val="none"/>
          <w:vertAlign w:val="baseline"/>
        </w:rPr>
        <w:t>造锍捕金自热熔炼”</w:t>
      </w:r>
      <w:r>
        <w:rPr>
          <w:rFonts w:hint="eastAsia" w:ascii="宋体" w:hAnsi="宋体" w:eastAsia="宋体" w:cs="宋体"/>
          <w:color w:val="auto"/>
          <w:sz w:val="21"/>
          <w:szCs w:val="21"/>
          <w:u w:val="none"/>
          <w:vertAlign w:val="baseline"/>
          <w:lang w:val="en-US" w:eastAsia="zh-CN"/>
        </w:rPr>
        <w:t>技术</w:t>
      </w:r>
      <w:r>
        <w:rPr>
          <w:rFonts w:hint="eastAsia" w:ascii="宋体" w:hAnsi="宋体" w:eastAsia="宋体" w:cs="宋体"/>
          <w:color w:val="auto"/>
          <w:sz w:val="21"/>
          <w:szCs w:val="21"/>
          <w:u w:val="none"/>
          <w:vertAlign w:val="baseline"/>
        </w:rPr>
        <w:t>，项目年产阴极铜10万吨，</w:t>
      </w:r>
      <w:r>
        <w:rPr>
          <w:rFonts w:hint="eastAsia" w:ascii="宋体" w:hAnsi="宋体" w:eastAsia="宋体" w:cs="宋体"/>
          <w:color w:val="auto"/>
          <w:sz w:val="21"/>
          <w:szCs w:val="21"/>
          <w:u w:val="none"/>
          <w:vertAlign w:val="baseline"/>
          <w:lang w:val="en-US" w:eastAsia="zh-CN"/>
        </w:rPr>
        <w:t>黄金12吨，</w:t>
      </w:r>
      <w:r>
        <w:rPr>
          <w:rFonts w:hint="eastAsia" w:ascii="宋体" w:hAnsi="宋体" w:eastAsia="宋体" w:cs="宋体"/>
          <w:color w:val="auto"/>
          <w:sz w:val="21"/>
          <w:szCs w:val="21"/>
          <w:u w:val="none"/>
          <w:vertAlign w:val="baseline"/>
        </w:rPr>
        <w:t>并配套建设了</w:t>
      </w:r>
      <w:r>
        <w:rPr>
          <w:rFonts w:hint="eastAsia" w:ascii="宋体" w:hAnsi="宋体" w:eastAsia="宋体" w:cs="宋体"/>
          <w:color w:val="auto"/>
          <w:sz w:val="21"/>
          <w:szCs w:val="21"/>
          <w:vertAlign w:val="baseline"/>
          <w:lang w:val="en-US" w:eastAsia="zh-CN"/>
        </w:rPr>
        <w:t>6</w:t>
      </w:r>
      <w:r>
        <w:rPr>
          <w:rFonts w:hint="eastAsia" w:ascii="宋体" w:hAnsi="宋体" w:eastAsia="宋体" w:cs="宋体"/>
          <w:color w:val="auto"/>
          <w:sz w:val="21"/>
          <w:szCs w:val="21"/>
          <w:vertAlign w:val="baseline"/>
        </w:rPr>
        <w:t>00kt/a</w:t>
      </w:r>
      <w:r>
        <w:rPr>
          <w:rFonts w:hint="eastAsia" w:ascii="宋体" w:hAnsi="宋体" w:eastAsia="宋体" w:cs="宋体"/>
          <w:color w:val="auto"/>
          <w:sz w:val="21"/>
          <w:szCs w:val="21"/>
          <w:u w:val="none"/>
          <w:vertAlign w:val="baseline"/>
        </w:rPr>
        <w:t>的制酸系统。</w:t>
      </w:r>
      <w:r>
        <w:rPr>
          <w:rFonts w:hint="eastAsia" w:ascii="宋体" w:hAnsi="宋体" w:eastAsia="宋体" w:cs="宋体"/>
          <w:color w:val="auto"/>
          <w:sz w:val="21"/>
          <w:szCs w:val="21"/>
          <w:vertAlign w:val="baseline"/>
        </w:rPr>
        <w:t>为了更好</w:t>
      </w:r>
      <w:r>
        <w:rPr>
          <w:rFonts w:hint="eastAsia" w:ascii="宋体" w:hAnsi="宋体" w:eastAsia="宋体" w:cs="宋体"/>
          <w:color w:val="auto"/>
          <w:sz w:val="21"/>
          <w:szCs w:val="21"/>
          <w:vertAlign w:val="baseline"/>
          <w:lang w:eastAsia="zh-CN"/>
        </w:rPr>
        <w:t>地</w:t>
      </w:r>
      <w:r>
        <w:rPr>
          <w:rFonts w:hint="eastAsia" w:ascii="宋体" w:hAnsi="宋体" w:eastAsia="宋体" w:cs="宋体"/>
          <w:color w:val="auto"/>
          <w:sz w:val="21"/>
          <w:szCs w:val="21"/>
          <w:vertAlign w:val="baseline"/>
        </w:rPr>
        <w:t>回收制酸系统热能，公司在制酸系统中</w:t>
      </w:r>
      <w:r>
        <w:rPr>
          <w:rFonts w:hint="eastAsia" w:ascii="宋体" w:hAnsi="宋体" w:eastAsia="宋体" w:cs="宋体"/>
          <w:color w:val="auto"/>
          <w:sz w:val="21"/>
          <w:szCs w:val="21"/>
          <w:vertAlign w:val="baseline"/>
          <w:lang w:val="en-US" w:eastAsia="zh-CN"/>
        </w:rPr>
        <w:t>进行了</w:t>
      </w:r>
      <w:r>
        <w:rPr>
          <w:rFonts w:hint="eastAsia" w:ascii="宋体" w:hAnsi="宋体" w:eastAsia="宋体" w:cs="宋体"/>
          <w:color w:val="auto"/>
          <w:sz w:val="21"/>
          <w:szCs w:val="21"/>
          <w:vertAlign w:val="baseline"/>
        </w:rPr>
        <w:t>低温余热回收</w:t>
      </w:r>
      <w:r>
        <w:rPr>
          <w:rFonts w:hint="eastAsia" w:ascii="宋体" w:hAnsi="宋体" w:eastAsia="宋体" w:cs="宋体"/>
          <w:color w:val="auto"/>
          <w:sz w:val="21"/>
          <w:szCs w:val="21"/>
          <w:vertAlign w:val="baseline"/>
          <w:lang w:val="en-US" w:eastAsia="zh-CN"/>
        </w:rPr>
        <w:t>改造</w:t>
      </w:r>
      <w:r>
        <w:rPr>
          <w:rFonts w:hint="eastAsia" w:ascii="宋体" w:hAnsi="宋体" w:eastAsia="宋体" w:cs="宋体"/>
          <w:color w:val="auto"/>
          <w:sz w:val="21"/>
          <w:szCs w:val="21"/>
          <w:vertAlign w:val="baseline"/>
        </w:rPr>
        <w:t>，并于2024年8月投入</w:t>
      </w:r>
      <w:r>
        <w:rPr>
          <w:rFonts w:hint="eastAsia" w:ascii="宋体" w:hAnsi="宋体" w:eastAsia="宋体" w:cs="宋体"/>
          <w:color w:val="auto"/>
          <w:sz w:val="21"/>
          <w:szCs w:val="21"/>
          <w:vertAlign w:val="baseline"/>
          <w:lang w:val="en-US" w:eastAsia="zh-CN"/>
        </w:rPr>
        <w:t>运行</w:t>
      </w:r>
      <w:r>
        <w:rPr>
          <w:rFonts w:hint="eastAsia" w:ascii="宋体" w:hAnsi="宋体" w:eastAsia="宋体" w:cs="宋体"/>
          <w:color w:val="auto"/>
          <w:sz w:val="21"/>
          <w:szCs w:val="21"/>
          <w:vertAlign w:val="baseline"/>
        </w:rPr>
        <w:t>，经实际生产运行，</w:t>
      </w:r>
      <w:r>
        <w:rPr>
          <w:rFonts w:hint="eastAsia" w:ascii="宋体" w:hAnsi="宋体" w:eastAsia="宋体" w:cs="宋体"/>
          <w:color w:val="auto"/>
          <w:sz w:val="21"/>
          <w:szCs w:val="21"/>
          <w:vertAlign w:val="baseline"/>
          <w:lang w:val="en-US" w:eastAsia="zh-CN"/>
        </w:rPr>
        <w:t>达到预期指标</w:t>
      </w:r>
      <w:r>
        <w:rPr>
          <w:rFonts w:hint="eastAsia" w:ascii="宋体" w:hAnsi="宋体" w:eastAsia="宋体" w:cs="宋体"/>
          <w:color w:val="auto"/>
          <w:sz w:val="21"/>
          <w:szCs w:val="21"/>
          <w:vertAlign w:val="baseline"/>
        </w:rPr>
        <w:t>。</w:t>
      </w:r>
    </w:p>
    <w:p w14:paraId="0A24D88C">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 系统设计</w:t>
      </w:r>
    </w:p>
    <w:p w14:paraId="5FB093C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1.1 项目背景</w:t>
      </w:r>
    </w:p>
    <w:p w14:paraId="4D6AE424">
      <w:pPr>
        <w:pStyle w:val="7"/>
        <w:pageBreakBefore w:val="0"/>
        <w:kinsoku/>
        <w:wordWrap/>
        <w:overflowPunct/>
        <w:topLinePunct w:val="0"/>
        <w:autoSpaceDE/>
        <w:autoSpaceDN/>
        <w:bidi w:val="0"/>
        <w:spacing w:after="0" w:afterLines="0" w:line="400" w:lineRule="exact"/>
        <w:ind w:firstLine="420" w:firstLineChars="200"/>
        <w:rPr>
          <w:rFonts w:hint="eastAsia" w:ascii="宋体" w:hAnsi="宋体" w:eastAsia="宋体" w:cs="宋体"/>
          <w:color w:val="auto"/>
          <w:sz w:val="21"/>
          <w:szCs w:val="21"/>
        </w:rPr>
      </w:pPr>
      <w:r>
        <w:rPr>
          <w:rFonts w:hint="eastAsia" w:ascii="宋体" w:hAnsi="宋体" w:eastAsia="宋体" w:cs="宋体"/>
          <w:i w:val="0"/>
          <w:color w:val="auto"/>
          <w:sz w:val="21"/>
          <w:szCs w:val="21"/>
          <w:highlight w:val="none"/>
        </w:rPr>
        <w:t>在</w:t>
      </w:r>
      <w:r>
        <w:rPr>
          <w:rFonts w:hint="eastAsia" w:ascii="宋体" w:hAnsi="宋体" w:eastAsia="宋体" w:cs="宋体"/>
          <w:i w:val="0"/>
          <w:color w:val="auto"/>
          <w:sz w:val="21"/>
          <w:szCs w:val="21"/>
          <w:highlight w:val="none"/>
          <w:lang w:val="en-US" w:eastAsia="zh-CN"/>
        </w:rPr>
        <w:t>金</w:t>
      </w:r>
      <w:r>
        <w:rPr>
          <w:rFonts w:hint="eastAsia" w:ascii="宋体" w:hAnsi="宋体" w:eastAsia="宋体" w:cs="宋体"/>
          <w:i w:val="0"/>
          <w:color w:val="auto"/>
          <w:sz w:val="21"/>
          <w:szCs w:val="21"/>
          <w:highlight w:val="none"/>
        </w:rPr>
        <w:t>铜冶炼过程中，制酸系统会产生大量的余热，原有</w:t>
      </w:r>
      <w:r>
        <w:rPr>
          <w:rFonts w:hint="eastAsia" w:ascii="宋体" w:hAnsi="宋体" w:eastAsia="宋体" w:cs="宋体"/>
          <w:i w:val="0"/>
          <w:color w:val="auto"/>
          <w:sz w:val="21"/>
          <w:szCs w:val="21"/>
          <w:highlight w:val="none"/>
          <w:lang w:val="en-US" w:eastAsia="zh-CN"/>
        </w:rPr>
        <w:t>制酸</w:t>
      </w:r>
      <w:r>
        <w:rPr>
          <w:rFonts w:hint="eastAsia" w:ascii="宋体" w:hAnsi="宋体" w:eastAsia="宋体" w:cs="宋体"/>
          <w:i w:val="0"/>
          <w:color w:val="auto"/>
          <w:sz w:val="21"/>
          <w:szCs w:val="21"/>
          <w:highlight w:val="none"/>
        </w:rPr>
        <w:t>系统的低温位</w:t>
      </w:r>
      <w:r>
        <w:rPr>
          <w:rFonts w:hint="eastAsia" w:ascii="宋体" w:hAnsi="宋体" w:eastAsia="宋体" w:cs="宋体"/>
          <w:i w:val="0"/>
          <w:color w:val="auto"/>
          <w:sz w:val="21"/>
          <w:szCs w:val="21"/>
          <w:highlight w:val="none"/>
          <w:lang w:val="en-US" w:eastAsia="zh-CN"/>
        </w:rPr>
        <w:t>余热未进行回收</w:t>
      </w:r>
      <w:r>
        <w:rPr>
          <w:rFonts w:hint="eastAsia" w:ascii="宋体" w:hAnsi="宋体" w:eastAsia="宋体" w:cs="宋体"/>
          <w:i w:val="0"/>
          <w:color w:val="auto"/>
          <w:sz w:val="21"/>
          <w:szCs w:val="21"/>
          <w:highlight w:val="none"/>
        </w:rPr>
        <w:t>，干吸工序一次吸收塔吸收三氧化硫所产生的浓硫酸的热量大部分被循</w:t>
      </w:r>
      <w:r>
        <w:rPr>
          <w:rFonts w:hint="eastAsia" w:ascii="宋体" w:hAnsi="宋体" w:eastAsia="宋体" w:cs="宋体"/>
          <w:i w:val="0"/>
          <w:color w:val="auto"/>
          <w:sz w:val="21"/>
          <w:szCs w:val="21"/>
        </w:rPr>
        <w:t>环冷却水带走，造成热量浪</w:t>
      </w:r>
      <w:r>
        <w:rPr>
          <w:rFonts w:hint="eastAsia" w:ascii="宋体" w:hAnsi="宋体" w:eastAsia="宋体" w:cs="宋体"/>
          <w:color w:val="auto"/>
          <w:sz w:val="21"/>
          <w:szCs w:val="21"/>
        </w:rPr>
        <w:t>费。在阳极保护酸冷器列管结垢的情况下还会</w:t>
      </w:r>
      <w:r>
        <w:rPr>
          <w:rFonts w:hint="eastAsia" w:ascii="宋体" w:hAnsi="宋体" w:eastAsia="宋体" w:cs="宋体"/>
          <w:color w:val="auto"/>
          <w:sz w:val="21"/>
          <w:szCs w:val="21"/>
          <w:lang w:val="en-US" w:eastAsia="zh-CN"/>
        </w:rPr>
        <w:t>引起</w:t>
      </w:r>
      <w:r>
        <w:rPr>
          <w:rFonts w:hint="eastAsia" w:ascii="宋体" w:hAnsi="宋体" w:eastAsia="宋体" w:cs="宋体"/>
          <w:color w:val="auto"/>
          <w:sz w:val="21"/>
          <w:szCs w:val="21"/>
        </w:rPr>
        <w:t>循环酸温过高，对设备造成损</w:t>
      </w:r>
      <w:r>
        <w:rPr>
          <w:rFonts w:hint="eastAsia" w:ascii="宋体" w:hAnsi="宋体" w:eastAsia="宋体" w:cs="宋体"/>
          <w:color w:val="auto"/>
          <w:sz w:val="21"/>
          <w:szCs w:val="21"/>
          <w:lang w:val="en-US" w:eastAsia="zh-CN"/>
        </w:rPr>
        <w:t>害</w:t>
      </w:r>
      <w:r>
        <w:rPr>
          <w:rFonts w:hint="eastAsia" w:ascii="宋体" w:hAnsi="宋体" w:eastAsia="宋体" w:cs="宋体"/>
          <w:color w:val="auto"/>
          <w:sz w:val="21"/>
          <w:szCs w:val="21"/>
        </w:rPr>
        <w:t>。</w:t>
      </w:r>
    </w:p>
    <w:p w14:paraId="16B62955">
      <w:pPr>
        <w:pStyle w:val="7"/>
        <w:pageBreakBefore w:val="0"/>
        <w:kinsoku/>
        <w:wordWrap/>
        <w:overflowPunct/>
        <w:topLinePunct w:val="0"/>
        <w:autoSpaceDE/>
        <w:autoSpaceDN/>
        <w:bidi w:val="0"/>
        <w:spacing w:after="0" w:afterLines="0" w:line="40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为了解决这一问题，公司设计在干吸工段加入低温热回收系统替换原有的一次吸收塔，通过合理的工艺设计</w:t>
      </w:r>
      <w:r>
        <w:rPr>
          <w:rFonts w:hint="eastAsia" w:ascii="宋体" w:hAnsi="宋体" w:eastAsia="宋体" w:cs="宋体"/>
          <w:color w:val="auto"/>
          <w:sz w:val="21"/>
          <w:szCs w:val="21"/>
          <w:lang w:val="en-US" w:eastAsia="zh-CN"/>
        </w:rPr>
        <w:t>和改造</w:t>
      </w:r>
      <w:r>
        <w:rPr>
          <w:rFonts w:hint="eastAsia" w:ascii="宋体" w:hAnsi="宋体" w:eastAsia="宋体" w:cs="宋体"/>
          <w:color w:val="auto"/>
          <w:sz w:val="21"/>
          <w:szCs w:val="21"/>
        </w:rPr>
        <w:t>，实现</w:t>
      </w:r>
      <w:r>
        <w:rPr>
          <w:rFonts w:hint="eastAsia" w:ascii="宋体" w:hAnsi="宋体" w:eastAsia="宋体" w:cs="宋体"/>
          <w:color w:val="auto"/>
          <w:sz w:val="21"/>
          <w:szCs w:val="21"/>
          <w:lang w:val="en-US" w:eastAsia="zh-CN"/>
        </w:rPr>
        <w:t>了</w:t>
      </w:r>
      <w:r>
        <w:rPr>
          <w:rFonts w:hint="eastAsia" w:ascii="宋体" w:hAnsi="宋体" w:eastAsia="宋体" w:cs="宋体"/>
          <w:color w:val="auto"/>
          <w:sz w:val="21"/>
          <w:szCs w:val="21"/>
        </w:rPr>
        <w:t>制酸系统低温位</w:t>
      </w:r>
      <w:r>
        <w:rPr>
          <w:rFonts w:hint="eastAsia" w:ascii="宋体" w:hAnsi="宋体" w:eastAsia="宋体" w:cs="宋体"/>
          <w:color w:val="auto"/>
          <w:sz w:val="21"/>
          <w:szCs w:val="21"/>
          <w:lang w:val="en-US" w:eastAsia="zh-CN"/>
        </w:rPr>
        <w:t>余</w:t>
      </w:r>
      <w:r>
        <w:rPr>
          <w:rFonts w:hint="eastAsia" w:ascii="宋体" w:hAnsi="宋体" w:eastAsia="宋体" w:cs="宋体"/>
          <w:color w:val="auto"/>
          <w:sz w:val="21"/>
          <w:szCs w:val="21"/>
        </w:rPr>
        <w:t>热的回收利用。其原理基于浓硫酸与脱盐水的热量交换，利用高温度的浓硫酸余热蒸发脱盐水后产生低压蒸汽，从而提高冶炼烟气在制酸系统中热量</w:t>
      </w:r>
      <w:r>
        <w:rPr>
          <w:rFonts w:hint="eastAsia" w:ascii="宋体" w:hAnsi="宋体" w:eastAsia="宋体" w:cs="宋体"/>
          <w:color w:val="auto"/>
          <w:sz w:val="21"/>
          <w:szCs w:val="21"/>
          <w:lang w:val="en-US" w:eastAsia="zh-CN"/>
        </w:rPr>
        <w:t>的</w:t>
      </w:r>
      <w:r>
        <w:rPr>
          <w:rFonts w:hint="eastAsia" w:ascii="宋体" w:hAnsi="宋体" w:eastAsia="宋体" w:cs="宋体"/>
          <w:color w:val="auto"/>
          <w:sz w:val="21"/>
          <w:szCs w:val="21"/>
        </w:rPr>
        <w:t>回收。这些蒸汽可用</w:t>
      </w:r>
      <w:r>
        <w:rPr>
          <w:rFonts w:hint="eastAsia" w:ascii="宋体" w:hAnsi="宋体" w:eastAsia="宋体" w:cs="宋体"/>
          <w:color w:val="auto"/>
          <w:sz w:val="21"/>
          <w:szCs w:val="21"/>
          <w:lang w:val="en-US" w:eastAsia="zh-CN"/>
        </w:rPr>
        <w:t>于</w:t>
      </w:r>
      <w:r>
        <w:rPr>
          <w:rFonts w:hint="eastAsia" w:ascii="宋体" w:hAnsi="宋体" w:eastAsia="宋体" w:cs="宋体"/>
          <w:color w:val="auto"/>
          <w:sz w:val="21"/>
          <w:szCs w:val="21"/>
        </w:rPr>
        <w:t>汽轮机发电</w:t>
      </w:r>
      <w:r>
        <w:rPr>
          <w:rFonts w:hint="eastAsia" w:ascii="宋体" w:hAnsi="宋体" w:eastAsia="宋体" w:cs="宋体"/>
          <w:color w:val="auto"/>
          <w:sz w:val="21"/>
          <w:szCs w:val="21"/>
          <w:lang w:val="en-US" w:eastAsia="zh-CN"/>
        </w:rPr>
        <w:t>和</w:t>
      </w:r>
      <w:r>
        <w:rPr>
          <w:rFonts w:hint="eastAsia" w:ascii="宋体" w:hAnsi="宋体" w:eastAsia="宋体" w:cs="宋体"/>
          <w:color w:val="auto"/>
          <w:sz w:val="21"/>
          <w:szCs w:val="21"/>
        </w:rPr>
        <w:t>外售，提升经济效益。</w:t>
      </w:r>
    </w:p>
    <w:p w14:paraId="62D1E71F">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1.2 设计条件</w:t>
      </w:r>
    </w:p>
    <w:p w14:paraId="53B138A6">
      <w:pPr>
        <w:pStyle w:val="7"/>
        <w:pageBreakBefore w:val="0"/>
        <w:kinsoku/>
        <w:wordWrap/>
        <w:overflowPunct/>
        <w:topLinePunct w:val="0"/>
        <w:autoSpaceDE/>
        <w:autoSpaceDN/>
        <w:bidi w:val="0"/>
        <w:spacing w:after="0" w:afterLines="0" w:line="400" w:lineRule="exact"/>
        <w:ind w:firstLine="420" w:firstLineChars="200"/>
        <w:rPr>
          <w:rFonts w:hint="eastAsia" w:ascii="宋体" w:hAnsi="宋体" w:eastAsia="宋体" w:cs="宋体"/>
          <w:color w:val="auto"/>
          <w:sz w:val="21"/>
          <w:szCs w:val="21"/>
          <w:vertAlign w:val="baseline"/>
          <w:lang w:eastAsia="zh-CN"/>
        </w:rPr>
      </w:pPr>
      <w:r>
        <w:rPr>
          <w:rFonts w:hint="eastAsia" w:ascii="宋体" w:hAnsi="宋体" w:eastAsia="宋体" w:cs="宋体"/>
          <w:color w:val="auto"/>
          <w:sz w:val="21"/>
          <w:szCs w:val="21"/>
          <w:vertAlign w:val="baseline"/>
        </w:rPr>
        <w:t>进入干燥塔入口烟气温度≤38℃，一次转化率≥96%，进高温吸收塔气体压力15KPa，进高温吸收塔烟气温度180℃~200℃，高温吸收塔二级上塔酸温60℃。高温吸收塔烟气入口条件见表1</w:t>
      </w:r>
      <w:r>
        <w:rPr>
          <w:rFonts w:hint="eastAsia" w:ascii="宋体" w:hAnsi="宋体" w:eastAsia="宋体" w:cs="宋体"/>
          <w:color w:val="auto"/>
          <w:sz w:val="21"/>
          <w:szCs w:val="21"/>
          <w:vertAlign w:val="baseline"/>
          <w:lang w:eastAsia="zh-CN"/>
        </w:rPr>
        <w:t>。</w:t>
      </w:r>
    </w:p>
    <w:p w14:paraId="33D4B1FB">
      <w:pPr>
        <w:pStyle w:val="46"/>
        <w:pageBreakBefore w:val="0"/>
        <w:kinsoku/>
        <w:wordWrap/>
        <w:overflowPunct/>
        <w:topLinePunct w:val="0"/>
        <w:autoSpaceDE/>
        <w:autoSpaceDN/>
        <w:bidi w:val="0"/>
        <w:spacing w:before="0" w:after="0" w:line="400" w:lineRule="exact"/>
        <w:rPr>
          <w:rFonts w:hint="eastAsia" w:ascii="宋体" w:hAnsi="宋体" w:eastAsia="宋体" w:cs="宋体"/>
          <w:b/>
          <w:bCs/>
          <w:sz w:val="21"/>
          <w:szCs w:val="21"/>
          <w:vertAlign w:val="baseline"/>
        </w:rPr>
      </w:pPr>
      <w:r>
        <w:rPr>
          <w:rFonts w:hint="eastAsia" w:ascii="宋体" w:hAnsi="宋体" w:eastAsia="宋体" w:cs="宋体"/>
          <w:b/>
          <w:bCs/>
          <w:sz w:val="21"/>
          <w:szCs w:val="21"/>
          <w:vertAlign w:val="baseline"/>
        </w:rPr>
        <w:t>表1 高温吸收塔烟气入口条件</w:t>
      </w:r>
    </w:p>
    <w:tbl>
      <w:tblPr>
        <w:tblStyle w:val="17"/>
        <w:tblW w:w="812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46"/>
        <w:gridCol w:w="1080"/>
        <w:gridCol w:w="1080"/>
        <w:gridCol w:w="1080"/>
        <w:gridCol w:w="1080"/>
        <w:gridCol w:w="1080"/>
        <w:gridCol w:w="1080"/>
      </w:tblGrid>
      <w:tr w14:paraId="65BE7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64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AF99A5">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名称</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397584">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SO₃</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13592B">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SO₂</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09E718">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O₂</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6CAE8C">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N</w:t>
            </w:r>
            <w:r>
              <w:rPr>
                <w:rStyle w:val="39"/>
                <w:rFonts w:hint="eastAsia" w:ascii="宋体" w:hAnsi="宋体" w:eastAsia="宋体" w:cs="宋体"/>
                <w:color w:val="auto"/>
                <w:sz w:val="18"/>
                <w:szCs w:val="18"/>
                <w:lang w:val="en-US" w:eastAsia="zh-CN" w:bidi="ar"/>
              </w:rPr>
              <w:t>₂</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F6B62F">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CO</w:t>
            </w:r>
            <w:r>
              <w:rPr>
                <w:rStyle w:val="39"/>
                <w:rFonts w:hint="eastAsia" w:ascii="宋体" w:hAnsi="宋体" w:eastAsia="宋体" w:cs="宋体"/>
                <w:color w:val="auto"/>
                <w:sz w:val="18"/>
                <w:szCs w:val="18"/>
                <w:lang w:val="en-US" w:eastAsia="zh-CN" w:bidi="ar"/>
              </w:rPr>
              <w:t>₂</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FCF527">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合计</w:t>
            </w:r>
          </w:p>
        </w:tc>
      </w:tr>
      <w:tr w14:paraId="1F8EF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EA106BE">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气量（Nm³/h）</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6CEB24B">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18286</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DB12C4">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762</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FC5AF8">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15717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652E7AD">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125025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1740E71">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7540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170AE03">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bidi="ar"/>
              </w:rPr>
              <w:t>167330</w:t>
            </w:r>
          </w:p>
        </w:tc>
      </w:tr>
      <w:tr w14:paraId="7C3BC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14ADAD7">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成分（%）</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C5E64F5">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10.928</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1A5399">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0.46</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9A3899">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9.39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6091FB5">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74.72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64A854D">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4.51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199CB4A">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r>
    </w:tbl>
    <w:p w14:paraId="24C0C28F">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1.3 技术方案</w:t>
      </w:r>
    </w:p>
    <w:p w14:paraId="609A4815">
      <w:pPr>
        <w:pStyle w:val="7"/>
        <w:pageBreakBefore w:val="0"/>
        <w:kinsoku/>
        <w:wordWrap/>
        <w:overflowPunct/>
        <w:topLinePunct w:val="0"/>
        <w:autoSpaceDE/>
        <w:autoSpaceDN/>
        <w:bidi w:val="0"/>
        <w:spacing w:after="0" w:afterLines="0" w:line="400" w:lineRule="exact"/>
        <w:rPr>
          <w:rFonts w:hint="eastAsia" w:ascii="宋体" w:hAnsi="宋体" w:eastAsia="宋体" w:cs="宋体"/>
          <w:i w:val="0"/>
          <w:color w:val="auto"/>
          <w:sz w:val="21"/>
          <w:szCs w:val="21"/>
          <w:u w:val="none"/>
        </w:rPr>
      </w:pPr>
      <w:r>
        <w:rPr>
          <w:rFonts w:hint="eastAsia" w:ascii="宋体" w:hAnsi="宋体" w:eastAsia="宋体" w:cs="宋体"/>
          <w:i w:val="0"/>
          <w:color w:val="auto"/>
          <w:sz w:val="21"/>
          <w:szCs w:val="21"/>
          <w:u w:val="none"/>
        </w:rPr>
        <w:t>该系统低温余热回收装置集成了一套完整的吸收与换热单元。关键设备包括用于替代原系统一吸塔的新建高温吸收塔，以及与之匹配的循环酸泵槽（泵机一体化）。系统还配备了蒸汽发生器、混合器、脱盐水加热器、除氧水加热器等换热设备，通过蒸发除氧器和脱盐水箱完成水与产蒸汽平衡。此外还设有一套蒸汽喷射系统为工艺气升温。其具体的设备工艺流程见图2。</w:t>
      </w:r>
    </w:p>
    <w:p w14:paraId="2E8C044C">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1.3.1 蒸汽喷射系统</w:t>
      </w:r>
    </w:p>
    <w:p w14:paraId="1C3A98C7">
      <w:pPr>
        <w:pStyle w:val="7"/>
        <w:pageBreakBefore w:val="0"/>
        <w:kinsoku/>
        <w:wordWrap/>
        <w:overflowPunct/>
        <w:topLinePunct w:val="0"/>
        <w:autoSpaceDE/>
        <w:autoSpaceDN/>
        <w:bidi w:val="0"/>
        <w:spacing w:after="0" w:afterLines="0" w:line="400" w:lineRule="exact"/>
        <w:rPr>
          <w:rFonts w:hint="eastAsia" w:ascii="宋体" w:hAnsi="宋体" w:eastAsia="宋体" w:cs="宋体"/>
          <w:i w:val="0"/>
          <w:color w:val="auto"/>
          <w:sz w:val="21"/>
          <w:szCs w:val="21"/>
          <w:u w:val="none"/>
        </w:rPr>
      </w:pPr>
      <w:r>
        <w:rPr>
          <w:rFonts w:hint="eastAsia" w:ascii="宋体" w:hAnsi="宋体" w:eastAsia="宋体" w:cs="宋体"/>
          <w:i w:val="0"/>
          <w:color w:val="auto"/>
          <w:sz w:val="21"/>
          <w:szCs w:val="21"/>
          <w:u w:val="none"/>
        </w:rPr>
        <w:t>为了提升余热回收系统内的循环酸温进而</w:t>
      </w:r>
      <w:r>
        <w:rPr>
          <w:rFonts w:hint="eastAsia" w:ascii="宋体" w:hAnsi="宋体" w:eastAsia="宋体" w:cs="宋体"/>
          <w:i w:val="0"/>
          <w:color w:val="auto"/>
          <w:sz w:val="21"/>
          <w:szCs w:val="21"/>
          <w:u w:val="none"/>
          <w:lang w:eastAsia="zh-CN"/>
        </w:rPr>
        <w:t>提升</w:t>
      </w:r>
      <w:r>
        <w:rPr>
          <w:rFonts w:hint="eastAsia" w:ascii="宋体" w:hAnsi="宋体" w:eastAsia="宋体" w:cs="宋体"/>
          <w:i w:val="0"/>
          <w:color w:val="auto"/>
          <w:sz w:val="21"/>
          <w:szCs w:val="21"/>
          <w:u w:val="none"/>
        </w:rPr>
        <w:t>蒸汽量，一次转化后的气体，在进入高温吸收塔前，先进入蒸汽喷射装置。在此装置中，气体与来自蒸发除氧器的低压蒸汽进行混合，利用蒸汽的热能对烟气进行升温，以实现循环酸温的提升。</w:t>
      </w:r>
    </w:p>
    <w:p w14:paraId="6E0279F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1.3.2 高温吸收塔</w:t>
      </w:r>
    </w:p>
    <w:p w14:paraId="3D9AA8F0">
      <w:pPr>
        <w:pStyle w:val="7"/>
        <w:pageBreakBefore w:val="0"/>
        <w:kinsoku/>
        <w:wordWrap/>
        <w:overflowPunct/>
        <w:topLinePunct w:val="0"/>
        <w:autoSpaceDE/>
        <w:autoSpaceDN/>
        <w:bidi w:val="0"/>
        <w:spacing w:after="0" w:afterLines="0" w:line="400" w:lineRule="exact"/>
        <w:ind w:firstLine="420" w:firstLineChars="200"/>
        <w:rPr>
          <w:rFonts w:hint="eastAsia" w:ascii="宋体" w:hAnsi="宋体" w:eastAsia="宋体" w:cs="宋体"/>
          <w:i w:val="0"/>
          <w:color w:val="auto"/>
          <w:sz w:val="21"/>
          <w:szCs w:val="21"/>
          <w:u w:val="none"/>
        </w:rPr>
      </w:pPr>
      <w:r>
        <w:rPr>
          <w:rFonts w:hint="eastAsia" w:ascii="宋体" w:hAnsi="宋体" w:eastAsia="宋体" w:cs="宋体"/>
          <w:i w:val="0"/>
          <w:color w:val="auto"/>
          <w:sz w:val="21"/>
          <w:szCs w:val="21"/>
          <w:u w:val="none"/>
        </w:rPr>
        <w:t>高温吸收塔体为立式圆柱形，由特殊材料制造，内部装填有两级填料。来自混合器的浓硫酸经管道进入特殊设计的槽管式分酸器，均匀分布至高温吸收塔下部的第一级填料层，以吸收一次转化气中的大部分SO₃。残余气体上升至第二级填料层，与来自原系统二吸阳极保护酸冷器的硫酸接触，实现SO₃的进一步吸收。第二级吸收层不仅用于评估第一级吸收率，还承担着保护出塔烟气温度的功能。</w:t>
      </w:r>
    </w:p>
    <w:p w14:paraId="620839F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1.3.3 高温循环槽</w:t>
      </w:r>
    </w:p>
    <w:p w14:paraId="7D2C94B0">
      <w:pPr>
        <w:pStyle w:val="7"/>
        <w:pageBreakBefore w:val="0"/>
        <w:kinsoku/>
        <w:wordWrap/>
        <w:overflowPunct/>
        <w:topLinePunct w:val="0"/>
        <w:autoSpaceDE/>
        <w:autoSpaceDN/>
        <w:bidi w:val="0"/>
        <w:spacing w:after="0" w:afterLines="0" w:line="400" w:lineRule="exact"/>
        <w:rPr>
          <w:rFonts w:hint="eastAsia" w:ascii="宋体" w:hAnsi="宋体" w:eastAsia="宋体" w:cs="宋体"/>
          <w:i w:val="0"/>
          <w:color w:val="auto"/>
          <w:sz w:val="21"/>
          <w:szCs w:val="21"/>
          <w:u w:val="none"/>
        </w:rPr>
      </w:pPr>
      <w:r>
        <w:rPr>
          <w:rFonts w:hint="eastAsia" w:ascii="宋体" w:hAnsi="宋体" w:eastAsia="宋体" w:cs="宋体"/>
          <w:i w:val="0"/>
          <w:color w:val="auto"/>
          <w:sz w:val="21"/>
          <w:szCs w:val="21"/>
          <w:u w:val="none"/>
        </w:rPr>
        <w:t>作为系统的核心枢纽，高温循环槽</w:t>
      </w:r>
      <w:r>
        <w:rPr>
          <w:rFonts w:hint="eastAsia" w:ascii="宋体" w:hAnsi="宋体" w:eastAsia="宋体" w:cs="宋体"/>
          <w:i w:val="0"/>
          <w:color w:val="auto"/>
          <w:sz w:val="21"/>
          <w:szCs w:val="21"/>
          <w:u w:val="none"/>
          <w:lang w:eastAsia="zh-CN"/>
        </w:rPr>
        <w:t>采用</w:t>
      </w:r>
      <w:r>
        <w:rPr>
          <w:rFonts w:hint="eastAsia" w:ascii="宋体" w:hAnsi="宋体" w:eastAsia="宋体" w:cs="宋体"/>
          <w:i w:val="0"/>
          <w:color w:val="auto"/>
          <w:sz w:val="21"/>
          <w:szCs w:val="21"/>
          <w:u w:val="none"/>
        </w:rPr>
        <w:t>与高温吸收塔特殊设计的塔槽一体式结构。安装于槽上的高温循环酸泵，负责将硫酸分别输送至高温吸收塔第一级吸收、脱盐水加热器等换热设备，并参与原系统的串酸调节，从而保障各单元的稳定运行。</w:t>
      </w:r>
    </w:p>
    <w:p w14:paraId="7BA9BE00">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1.3.4 蒸汽发生器</w:t>
      </w:r>
    </w:p>
    <w:p w14:paraId="4A2B499D">
      <w:pPr>
        <w:pStyle w:val="7"/>
        <w:pageBreakBefore w:val="0"/>
        <w:kinsoku/>
        <w:wordWrap/>
        <w:overflowPunct/>
        <w:topLinePunct w:val="0"/>
        <w:autoSpaceDE/>
        <w:autoSpaceDN/>
        <w:bidi w:val="0"/>
        <w:spacing w:after="0" w:afterLines="0" w:line="400" w:lineRule="exact"/>
        <w:ind w:firstLine="420" w:firstLineChars="200"/>
        <w:rPr>
          <w:rFonts w:hint="eastAsia" w:ascii="宋体" w:hAnsi="宋体" w:eastAsia="宋体" w:cs="宋体"/>
          <w:i w:val="0"/>
          <w:color w:val="auto"/>
          <w:sz w:val="21"/>
          <w:szCs w:val="21"/>
          <w:u w:val="none"/>
        </w:rPr>
      </w:pPr>
      <w:r>
        <w:rPr>
          <w:rFonts w:hint="eastAsia" w:ascii="宋体" w:hAnsi="宋体" w:eastAsia="宋体" w:cs="宋体"/>
          <w:i w:val="0"/>
          <w:color w:val="auto"/>
          <w:sz w:val="21"/>
          <w:szCs w:val="21"/>
          <w:u w:val="none"/>
        </w:rPr>
        <w:t>蒸汽发生器是一台低压釜式蒸发器。管程走酸，酸路进口与高温循环槽上高温循环泵出口相连；酸路出口分为两路，一路与混合器相连，另一路与给水加热器酸路相连。壳程走水，与给水加热器出口水路相连。浓硫酸与除氧水换热，为浓硫酸降温的同时，将除氧水蒸发汽化为0.8Mpa的饱和蒸汽。采用特殊材料制造的换热管束，其所在的蒸汽发生器管箱一端设计为可拆卸结构，以方便管束的更换操作。</w:t>
      </w:r>
    </w:p>
    <w:p w14:paraId="18E8E8F0">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1.3.5 混合器</w:t>
      </w:r>
    </w:p>
    <w:p w14:paraId="575667D3">
      <w:pPr>
        <w:pStyle w:val="7"/>
        <w:pageBreakBefore w:val="0"/>
        <w:kinsoku/>
        <w:wordWrap/>
        <w:overflowPunct/>
        <w:topLinePunct w:val="0"/>
        <w:autoSpaceDE/>
        <w:autoSpaceDN/>
        <w:bidi w:val="0"/>
        <w:spacing w:after="0" w:afterLines="0" w:line="400" w:lineRule="exact"/>
        <w:ind w:firstLine="420" w:firstLineChars="200"/>
        <w:rPr>
          <w:rFonts w:hint="eastAsia" w:ascii="宋体" w:hAnsi="宋体" w:eastAsia="宋体" w:cs="宋体"/>
          <w:i w:val="0"/>
          <w:color w:val="auto"/>
          <w:sz w:val="21"/>
          <w:szCs w:val="21"/>
          <w:u w:val="none"/>
        </w:rPr>
      </w:pPr>
      <w:r>
        <w:rPr>
          <w:rFonts w:hint="eastAsia" w:ascii="宋体" w:hAnsi="宋体" w:eastAsia="宋体" w:cs="宋体"/>
          <w:i w:val="0"/>
          <w:color w:val="auto"/>
          <w:sz w:val="21"/>
          <w:szCs w:val="21"/>
          <w:u w:val="none"/>
        </w:rPr>
        <w:t>混合器是一台耐酸钢内衬特殊四氟设备。顶部酸路进口与蒸汽发生器酸路出口相连接，顶部酸路出口与高温吸收塔第一级分酸器相连接，为高温吸收塔第一级循环酸路中的一环；侧部出酸口一侧与经过喷射水泵而来的除氧水通过管道相连接，进口处并入压缩空气，来调节进入高温循环塔第一级的浓硫酸酸浓；另一侧与原系统干燥阳极保护酸冷器酸路进口相连，来平衡系统整体液位和酸浓。</w:t>
      </w:r>
    </w:p>
    <w:p w14:paraId="04421B61">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1.3.6 脱盐水加热器</w:t>
      </w:r>
    </w:p>
    <w:p w14:paraId="2E0439BC">
      <w:pPr>
        <w:pStyle w:val="7"/>
        <w:pageBreakBefore w:val="0"/>
        <w:kinsoku/>
        <w:wordWrap/>
        <w:overflowPunct/>
        <w:topLinePunct w:val="0"/>
        <w:autoSpaceDE/>
        <w:autoSpaceDN/>
        <w:bidi w:val="0"/>
        <w:spacing w:after="0" w:afterLines="0" w:line="400" w:lineRule="exact"/>
        <w:ind w:firstLine="420" w:firstLineChars="200"/>
        <w:rPr>
          <w:rFonts w:hint="eastAsia" w:ascii="宋体" w:hAnsi="宋体" w:eastAsia="宋体" w:cs="宋体"/>
          <w:i w:val="0"/>
          <w:color w:val="auto"/>
          <w:sz w:val="21"/>
          <w:szCs w:val="21"/>
          <w:u w:val="none"/>
        </w:rPr>
      </w:pPr>
      <w:r>
        <w:rPr>
          <w:rFonts w:hint="eastAsia" w:ascii="宋体" w:hAnsi="宋体" w:eastAsia="宋体" w:cs="宋体"/>
          <w:i w:val="0"/>
          <w:color w:val="auto"/>
          <w:sz w:val="21"/>
          <w:szCs w:val="21"/>
          <w:u w:val="none"/>
        </w:rPr>
        <w:t>脱盐水加热器是一台卧式管壳式换热器。管程走酸，酸路进口与蒸发除氧器酸路出口相连，酸路出口用管道连接至原系统干燥循环槽和二吸循环槽；壳程走水，水路进口与脱盐水箱的脱盐水泵出口相连，水路出口连接至蒸发除氧器壳程。通过酸水换热为浓硫酸降温的同时为脱盐水升温。</w:t>
      </w:r>
    </w:p>
    <w:p w14:paraId="69A5EB2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1.3.7 蒸发除氧器</w:t>
      </w:r>
    </w:p>
    <w:p w14:paraId="78D4201E">
      <w:pPr>
        <w:pStyle w:val="7"/>
        <w:pageBreakBefore w:val="0"/>
        <w:kinsoku/>
        <w:wordWrap/>
        <w:overflowPunct/>
        <w:topLinePunct w:val="0"/>
        <w:autoSpaceDE/>
        <w:autoSpaceDN/>
        <w:bidi w:val="0"/>
        <w:spacing w:after="0" w:afterLines="0" w:line="400" w:lineRule="exact"/>
        <w:ind w:firstLine="420" w:firstLineChars="200"/>
        <w:rPr>
          <w:rFonts w:hint="eastAsia" w:ascii="宋体" w:hAnsi="宋体" w:eastAsia="宋体" w:cs="宋体"/>
          <w:i w:val="0"/>
          <w:color w:val="auto"/>
          <w:sz w:val="21"/>
          <w:szCs w:val="21"/>
          <w:u w:val="none"/>
        </w:rPr>
      </w:pPr>
      <w:r>
        <w:rPr>
          <w:rFonts w:hint="eastAsia" w:ascii="宋体" w:hAnsi="宋体" w:eastAsia="宋体" w:cs="宋体"/>
          <w:i w:val="0"/>
          <w:color w:val="auto"/>
          <w:sz w:val="21"/>
          <w:szCs w:val="21"/>
          <w:u w:val="none"/>
        </w:rPr>
        <w:t>蒸发除氧器</w:t>
      </w:r>
      <w:r>
        <w:rPr>
          <w:rFonts w:hint="eastAsia" w:ascii="宋体" w:hAnsi="宋体" w:eastAsia="宋体" w:cs="宋体"/>
          <w:i w:val="0"/>
          <w:color w:val="auto"/>
          <w:sz w:val="21"/>
          <w:szCs w:val="21"/>
          <w:u w:val="none"/>
          <w:lang w:val="en-US" w:eastAsia="zh-CN"/>
        </w:rPr>
        <w:t>是</w:t>
      </w:r>
      <w:r>
        <w:rPr>
          <w:rFonts w:hint="eastAsia" w:ascii="宋体" w:hAnsi="宋体" w:eastAsia="宋体" w:cs="宋体"/>
          <w:i w:val="0"/>
          <w:color w:val="auto"/>
          <w:sz w:val="21"/>
          <w:szCs w:val="21"/>
          <w:u w:val="none"/>
        </w:rPr>
        <w:t>一台低压釜式蒸发器。管程走酸，酸路进口与给水加热器酸路出口相连，酸路出口与脱盐水加热器酸路进口相连；壳程走水，水路进口与脱盐水加热器水路出口相连，水路出口通过低压给水泵连接至给水加热器水路进口。利用管程内高温浓硫酸与壳程内脱盐水的换热，实现脱盐水的热力除氧，同时产生低压蒸汽用于为蒸汽喷射系统提供蒸汽。换热管采用与蒸汽发生器相同的设计。</w:t>
      </w:r>
    </w:p>
    <w:p w14:paraId="2F36924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1.3.8 给水加热器（除氧水加热器）</w:t>
      </w:r>
    </w:p>
    <w:p w14:paraId="48CCE423">
      <w:pPr>
        <w:pStyle w:val="7"/>
        <w:pageBreakBefore w:val="0"/>
        <w:kinsoku/>
        <w:wordWrap/>
        <w:overflowPunct/>
        <w:topLinePunct w:val="0"/>
        <w:autoSpaceDE/>
        <w:autoSpaceDN/>
        <w:bidi w:val="0"/>
        <w:spacing w:after="0" w:afterLines="0" w:line="400" w:lineRule="exact"/>
        <w:ind w:firstLine="420" w:firstLineChars="200"/>
        <w:rPr>
          <w:rFonts w:hint="eastAsia" w:ascii="宋体" w:hAnsi="宋体" w:eastAsia="宋体" w:cs="宋体"/>
          <w:i w:val="0"/>
          <w:color w:val="auto"/>
          <w:sz w:val="21"/>
          <w:szCs w:val="21"/>
          <w:u w:val="none"/>
        </w:rPr>
      </w:pPr>
      <w:r>
        <w:rPr>
          <w:rFonts w:hint="eastAsia" w:ascii="宋体" w:hAnsi="宋体" w:eastAsia="宋体" w:cs="宋体"/>
          <w:i w:val="0"/>
          <w:color w:val="auto"/>
          <w:sz w:val="21"/>
          <w:szCs w:val="21"/>
          <w:u w:val="none"/>
        </w:rPr>
        <w:t>蒸汽发生器给水加热器是一台卧式管壳式换热器。管程走酸，酸路进口与蒸汽发生器酸路出口相连，酸路出口与蒸发除氧器酸路进口相连；壳程走水，水路进口与蒸发除氧器低压给水</w:t>
      </w:r>
      <w:r>
        <w:rPr>
          <w:rFonts w:hint="eastAsia" w:ascii="宋体" w:hAnsi="宋体" w:eastAsia="宋体" w:cs="宋体"/>
          <w:i w:val="0"/>
          <w:color w:val="auto"/>
          <w:sz w:val="21"/>
          <w:szCs w:val="21"/>
          <w:u w:val="none"/>
          <w:lang w:eastAsia="zh-CN"/>
        </w:rPr>
        <w:t>泵</w:t>
      </w:r>
      <w:r>
        <w:rPr>
          <w:rFonts w:hint="eastAsia" w:ascii="宋体" w:hAnsi="宋体" w:eastAsia="宋体" w:cs="宋体"/>
          <w:i w:val="0"/>
          <w:color w:val="auto"/>
          <w:sz w:val="21"/>
          <w:szCs w:val="21"/>
          <w:u w:val="none"/>
        </w:rPr>
        <w:t>出口相连，水路出口连接至蒸汽发生器壳程。通过酸水换热为浓硫酸降温的同时为除氧水升温。</w:t>
      </w:r>
    </w:p>
    <w:p w14:paraId="7A03477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1.3.9 脱盐水箱</w:t>
      </w:r>
    </w:p>
    <w:p w14:paraId="631A2C5B">
      <w:pPr>
        <w:pStyle w:val="7"/>
        <w:pageBreakBefore w:val="0"/>
        <w:kinsoku/>
        <w:wordWrap/>
        <w:overflowPunct/>
        <w:topLinePunct w:val="0"/>
        <w:autoSpaceDE/>
        <w:autoSpaceDN/>
        <w:bidi w:val="0"/>
        <w:spacing w:after="0" w:afterLines="0" w:line="400" w:lineRule="exact"/>
        <w:ind w:firstLine="420" w:firstLineChars="200"/>
        <w:rPr>
          <w:rFonts w:hint="eastAsia" w:ascii="宋体" w:hAnsi="宋体" w:eastAsia="宋体" w:cs="宋体"/>
          <w:i w:val="0"/>
          <w:color w:val="auto"/>
          <w:sz w:val="21"/>
          <w:szCs w:val="21"/>
          <w:u w:val="none"/>
        </w:rPr>
      </w:pPr>
      <w:r>
        <w:rPr>
          <w:rFonts w:hint="eastAsia" w:ascii="宋体" w:hAnsi="宋体" w:eastAsia="宋体" w:cs="宋体"/>
          <w:i w:val="0"/>
          <w:color w:val="auto"/>
          <w:sz w:val="21"/>
          <w:szCs w:val="21"/>
          <w:u w:val="none"/>
        </w:rPr>
        <w:t>脱盐水箱为立式圆柱形设备，其出口通过脱盐水泵连接至脱盐水加热器水路进口，为低温余热回收系统提供稳定的脱盐水，脱盐水箱上部补充脱盐水来自外界脱盐水管道。</w:t>
      </w:r>
    </w:p>
    <w:p w14:paraId="73909990">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1.4 设计指标</w:t>
      </w:r>
    </w:p>
    <w:p w14:paraId="28BDF98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1.4.1 设计指标</w:t>
      </w:r>
    </w:p>
    <w:p w14:paraId="2E964124">
      <w:pPr>
        <w:pStyle w:val="7"/>
        <w:pageBreakBefore w:val="0"/>
        <w:kinsoku/>
        <w:wordWrap/>
        <w:overflowPunct/>
        <w:topLinePunct w:val="0"/>
        <w:autoSpaceDE/>
        <w:autoSpaceDN/>
        <w:bidi w:val="0"/>
        <w:spacing w:after="0" w:afterLines="0" w:line="400" w:lineRule="exact"/>
        <w:ind w:firstLine="420" w:firstLineChars="200"/>
        <w:rPr>
          <w:rFonts w:hint="eastAsia" w:ascii="宋体" w:hAnsi="宋体" w:eastAsia="宋体" w:cs="宋体"/>
          <w:i w:val="0"/>
          <w:color w:val="auto"/>
          <w:sz w:val="21"/>
          <w:szCs w:val="21"/>
          <w:u w:val="none"/>
        </w:rPr>
      </w:pPr>
      <w:r>
        <w:rPr>
          <w:rFonts w:hint="eastAsia" w:ascii="宋体" w:hAnsi="宋体" w:eastAsia="宋体" w:cs="宋体"/>
          <w:color w:val="auto"/>
          <w:sz w:val="21"/>
          <w:szCs w:val="21"/>
          <w:vertAlign w:val="baseline"/>
        </w:rPr>
        <w:t>低温余热回收系统产蒸汽压力为0.8MPa(G)；产蒸汽量≥34356kg/h，约为825t/d；高温吸收塔吸收率＞99.95%；高温吸收塔出口烟气酸雾≤30mg/</w:t>
      </w:r>
      <w:r>
        <w:rPr>
          <w:rFonts w:hint="eastAsia" w:ascii="宋体" w:hAnsi="宋体" w:eastAsia="宋体" w:cs="宋体"/>
          <w:i w:val="0"/>
          <w:color w:val="auto"/>
          <w:sz w:val="21"/>
          <w:szCs w:val="21"/>
          <w:u w:val="none"/>
        </w:rPr>
        <w:t>Nm³、无冷凝酸且木棒试验合格。</w:t>
      </w:r>
    </w:p>
    <w:p w14:paraId="6F2D8D3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1.4.2 工艺控制指标</w:t>
      </w:r>
    </w:p>
    <w:p w14:paraId="11083146">
      <w:pPr>
        <w:pStyle w:val="7"/>
        <w:pageBreakBefore w:val="0"/>
        <w:kinsoku/>
        <w:wordWrap/>
        <w:overflowPunct/>
        <w:topLinePunct w:val="0"/>
        <w:autoSpaceDE/>
        <w:autoSpaceDN/>
        <w:bidi w:val="0"/>
        <w:spacing w:after="0" w:afterLines="0" w:line="400" w:lineRule="exact"/>
        <w:ind w:firstLine="420" w:firstLineChars="200"/>
        <w:rPr>
          <w:rFonts w:hint="eastAsia" w:ascii="宋体" w:hAnsi="宋体" w:eastAsia="宋体" w:cs="宋体"/>
          <w:i w:val="0"/>
          <w:color w:val="auto"/>
          <w:sz w:val="21"/>
          <w:szCs w:val="21"/>
          <w:u w:val="single"/>
        </w:rPr>
      </w:pPr>
      <w:r>
        <w:rPr>
          <w:rFonts w:hint="eastAsia" w:ascii="宋体" w:hAnsi="宋体" w:eastAsia="宋体" w:cs="宋体"/>
          <w:i w:val="0"/>
          <w:color w:val="auto"/>
          <w:sz w:val="21"/>
          <w:szCs w:val="21"/>
          <w:u w:val="none"/>
        </w:rPr>
        <w:t>控制高温吸收塔第一级进塔酸浓为99%，循环酸流量为1200m³/h；高温吸收塔第二级进塔酸浓为98.5%左右，进塔酸流量为85m³/h，进塔酸温60℃～70℃；混合器串93%酸量为0m³/h～35m³/h，混合器加水量为3t/h～12t/h，混合器压缩空气压力为0.4Mpa；蒸汽喷射流量为3t/h～10t/h；蒸汽发生器压力为0.8</w:t>
      </w:r>
      <w:r>
        <w:rPr>
          <w:rFonts w:hint="eastAsia" w:ascii="宋体" w:hAnsi="宋体" w:eastAsia="宋体" w:cs="宋体"/>
          <w:color w:val="auto"/>
          <w:sz w:val="21"/>
          <w:szCs w:val="21"/>
          <w:vertAlign w:val="baseline"/>
        </w:rPr>
        <w:t>MPa(G)。</w:t>
      </w:r>
      <w:r>
        <w:rPr>
          <w:rStyle w:val="21"/>
          <w:rFonts w:hint="eastAsia" w:ascii="宋体" w:hAnsi="宋体" w:eastAsia="宋体" w:cs="宋体"/>
          <w:i w:val="0"/>
          <w:color w:val="auto"/>
          <w:sz w:val="21"/>
          <w:szCs w:val="21"/>
          <w:u w:val="none"/>
        </w:rPr>
        <w:t>为确保锅炉安全运行，给水水质需满足高标准：硬度小于2μmol/L、溶解氧小于等</w:t>
      </w:r>
      <w:r>
        <w:rPr>
          <w:rStyle w:val="21"/>
          <w:rFonts w:hint="eastAsia" w:ascii="宋体" w:hAnsi="宋体" w:eastAsia="宋体" w:cs="宋体"/>
          <w:i w:val="0"/>
          <w:color w:val="auto"/>
          <w:sz w:val="21"/>
          <w:szCs w:val="21"/>
          <w:u w:val="none"/>
          <w:lang w:val="en-US" w:eastAsia="zh-CN"/>
        </w:rPr>
        <w:t>于</w:t>
      </w:r>
      <w:r>
        <w:rPr>
          <w:rStyle w:val="21"/>
          <w:rFonts w:hint="eastAsia" w:ascii="宋体" w:hAnsi="宋体" w:eastAsia="宋体" w:cs="宋体"/>
          <w:i w:val="0"/>
          <w:color w:val="auto"/>
          <w:sz w:val="21"/>
          <w:szCs w:val="21"/>
          <w:u w:val="none"/>
        </w:rPr>
        <w:t>0.05mg/L，且pH大于7以防止酸性腐蚀。炉水则需维持特定的化学平衡，其中磷酸根控制在5~15mg/L以沉淀钙镁离子，pH值控制在 9~11的碱性区间，同时总碱度不超过12mmol/L、氯离子含量不超过20mg/L，以避免碱性腐蚀和应力腐蚀开裂。</w:t>
      </w:r>
    </w:p>
    <w:p w14:paraId="5CED176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 工艺流程</w:t>
      </w:r>
    </w:p>
    <w:p w14:paraId="420F4934">
      <w:pPr>
        <w:pStyle w:val="7"/>
        <w:pageBreakBefore w:val="0"/>
        <w:kinsoku/>
        <w:wordWrap/>
        <w:overflowPunct/>
        <w:topLinePunct w:val="0"/>
        <w:autoSpaceDE/>
        <w:autoSpaceDN/>
        <w:bidi w:val="0"/>
        <w:spacing w:after="0" w:afterLines="0" w:line="400" w:lineRule="exact"/>
        <w:ind w:firstLine="420" w:firstLineChars="200"/>
        <w:rPr>
          <w:rFonts w:hint="eastAsia" w:ascii="宋体" w:hAnsi="宋体" w:eastAsia="宋体" w:cs="宋体"/>
          <w:color w:val="auto"/>
          <w:sz w:val="21"/>
          <w:szCs w:val="21"/>
          <w:vertAlign w:val="baseline"/>
          <w:lang w:eastAsia="zh-CN"/>
        </w:rPr>
      </w:pPr>
      <w:r>
        <w:rPr>
          <w:rFonts w:hint="eastAsia" w:ascii="宋体" w:hAnsi="宋体" w:eastAsia="宋体" w:cs="宋体"/>
          <w:color w:val="auto"/>
          <w:sz w:val="21"/>
          <w:szCs w:val="21"/>
          <w:vertAlign w:val="baseline"/>
          <w:lang w:val="en-US" w:eastAsia="zh-CN"/>
        </w:rPr>
        <w:t>该公司</w:t>
      </w:r>
      <w:r>
        <w:rPr>
          <w:rFonts w:hint="eastAsia" w:ascii="宋体" w:hAnsi="宋体" w:eastAsia="宋体" w:cs="宋体"/>
          <w:color w:val="auto"/>
          <w:sz w:val="21"/>
          <w:szCs w:val="21"/>
          <w:vertAlign w:val="baseline"/>
        </w:rPr>
        <w:t>配备完善的“二转二吸”制酸系统，包括净化工序、转化工序、干吸工序、脱硫脱硝工序以及汽轮机，在其基础上增加低温余热回收系统，其整体烟气系统和硫酸循环系统工艺流程见图1</w:t>
      </w:r>
      <w:r>
        <w:rPr>
          <w:rFonts w:hint="eastAsia" w:ascii="宋体" w:hAnsi="宋体" w:eastAsia="宋体" w:cs="宋体"/>
          <w:color w:val="auto"/>
          <w:sz w:val="21"/>
          <w:szCs w:val="21"/>
          <w:vertAlign w:val="baseline"/>
          <w:lang w:eastAsia="zh-CN"/>
        </w:rPr>
        <w:t>。</w:t>
      </w:r>
    </w:p>
    <w:p w14:paraId="0EDC65ED">
      <w:pPr>
        <w:pageBreakBefore w:val="0"/>
        <w:kinsoku/>
        <w:wordWrap/>
        <w:overflowPunct/>
        <w:topLinePunct w:val="0"/>
        <w:autoSpaceDE/>
        <w:autoSpaceDN/>
        <w:bidi w:val="0"/>
        <w:spacing w:line="240" w:lineRule="auto"/>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drawing>
          <wp:inline distT="0" distB="0" distL="114300" distR="114300">
            <wp:extent cx="5266690" cy="3217545"/>
            <wp:effectExtent l="0" t="0" r="10160" b="1905"/>
            <wp:docPr id="6" name="图片 6" descr="_cgi-bin_mmwebwx-bin_webwxgetmsgimg__&amp;MsgID=939564609966635140&amp;skey=@crypt_a493b86a_99c929b359392f7e393a5e3dad9d7516&amp;mmweb_appid=wx_webfilehel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_cgi-bin_mmwebwx-bin_webwxgetmsgimg__&amp;MsgID=939564609966635140&amp;skey=@crypt_a493b86a_99c929b359392f7e393a5e3dad9d7516&amp;mmweb_appid=wx_webfilehelper"/>
                    <pic:cNvPicPr>
                      <a:picLocks noChangeAspect="1"/>
                    </pic:cNvPicPr>
                  </pic:nvPicPr>
                  <pic:blipFill>
                    <a:blip r:embed="rId4"/>
                    <a:stretch>
                      <a:fillRect/>
                    </a:stretch>
                  </pic:blipFill>
                  <pic:spPr>
                    <a:xfrm>
                      <a:off x="0" y="0"/>
                      <a:ext cx="5266690" cy="3217545"/>
                    </a:xfrm>
                    <a:prstGeom prst="rect">
                      <a:avLst/>
                    </a:prstGeom>
                  </pic:spPr>
                </pic:pic>
              </a:graphicData>
            </a:graphic>
          </wp:inline>
        </w:drawing>
      </w:r>
    </w:p>
    <w:p w14:paraId="11D9FEE3">
      <w:pPr>
        <w:pStyle w:val="46"/>
        <w:pageBreakBefore w:val="0"/>
        <w:kinsoku/>
        <w:wordWrap/>
        <w:overflowPunct/>
        <w:topLinePunct w:val="0"/>
        <w:autoSpaceDE/>
        <w:autoSpaceDN/>
        <w:bidi w:val="0"/>
        <w:spacing w:before="0" w:after="0" w:line="400" w:lineRule="exact"/>
        <w:rPr>
          <w:rFonts w:hint="eastAsia" w:ascii="宋体" w:hAnsi="宋体" w:eastAsia="宋体" w:cs="宋体"/>
          <w:b/>
          <w:bCs/>
          <w:color w:val="auto"/>
          <w:sz w:val="21"/>
          <w:szCs w:val="21"/>
          <w:vertAlign w:val="baseline"/>
          <w:lang w:val="en-US" w:eastAsia="zh-CN"/>
        </w:rPr>
      </w:pPr>
      <w:r>
        <w:rPr>
          <w:rFonts w:hint="eastAsia" w:ascii="宋体" w:hAnsi="宋体" w:eastAsia="宋体" w:cs="宋体"/>
          <w:b/>
          <w:bCs/>
          <w:sz w:val="21"/>
          <w:szCs w:val="21"/>
          <w:vertAlign w:val="baseline"/>
        </w:rPr>
        <w:t>图1  制酸烟气和硫酸循环系统工艺流程图</w:t>
      </w:r>
    </w:p>
    <w:p w14:paraId="068D079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2.1 烟气系统</w:t>
      </w:r>
    </w:p>
    <w:p w14:paraId="2A36CFA4">
      <w:pPr>
        <w:pStyle w:val="7"/>
        <w:pageBreakBefore w:val="0"/>
        <w:kinsoku/>
        <w:wordWrap/>
        <w:overflowPunct/>
        <w:topLinePunct w:val="0"/>
        <w:autoSpaceDE/>
        <w:autoSpaceDN/>
        <w:bidi w:val="0"/>
        <w:spacing w:after="0" w:afterLines="0" w:line="400" w:lineRule="exact"/>
        <w:ind w:firstLine="420" w:firstLineChars="200"/>
        <w:rPr>
          <w:rFonts w:hint="eastAsia" w:ascii="宋体" w:hAnsi="宋体" w:eastAsia="宋体" w:cs="宋体"/>
          <w:color w:val="auto"/>
          <w:sz w:val="21"/>
          <w:szCs w:val="21"/>
          <w:vertAlign w:val="baseline"/>
        </w:rPr>
      </w:pPr>
      <w:r>
        <w:rPr>
          <w:rFonts w:hint="eastAsia" w:ascii="宋体" w:hAnsi="宋体" w:eastAsia="宋体" w:cs="宋体"/>
          <w:color w:val="auto"/>
          <w:sz w:val="21"/>
          <w:szCs w:val="21"/>
          <w:vertAlign w:val="baseline"/>
        </w:rPr>
        <w:t>来自熔炼吹炼的冶炼烟气进入一级动力波洗涤塔，通过逆向喷淋洗涤烟气中的尘、砷、氟、氯、三氧化硫、水等杂质，深度净化烟气，并通过斜板沉降槽和压滤机除去净化烟气后循环液内的含砷、含氟、含氯等酸泥固化物，减少</w:t>
      </w:r>
      <w:r>
        <w:rPr>
          <w:rFonts w:hint="eastAsia" w:ascii="宋体" w:hAnsi="宋体" w:eastAsia="宋体" w:cs="宋体"/>
          <w:color w:val="auto"/>
          <w:sz w:val="21"/>
          <w:szCs w:val="21"/>
          <w:vertAlign w:val="baseline"/>
          <w:lang w:eastAsia="zh-CN"/>
        </w:rPr>
        <w:t>由于</w:t>
      </w:r>
      <w:r>
        <w:rPr>
          <w:rFonts w:hint="eastAsia" w:ascii="宋体" w:hAnsi="宋体" w:eastAsia="宋体" w:cs="宋体"/>
          <w:color w:val="auto"/>
          <w:sz w:val="21"/>
          <w:szCs w:val="21"/>
          <w:vertAlign w:val="baseline"/>
        </w:rPr>
        <w:t>液体固化物增大对设备管道的损害；经一级动力波洗涤塔净化后的烟气进入气体冷却塔，与经过板式换热器的循环液接触，进一步除尘降温；再依次经二级动力波洗涤塔、两级电除雾器除去烟气中的酸雾、颗粒物、水分等，净化完的烟气送入干吸转化工序。</w:t>
      </w:r>
    </w:p>
    <w:p w14:paraId="210F37CB">
      <w:pPr>
        <w:pStyle w:val="7"/>
        <w:pageBreakBefore w:val="0"/>
        <w:kinsoku/>
        <w:wordWrap/>
        <w:overflowPunct/>
        <w:topLinePunct w:val="0"/>
        <w:autoSpaceDE/>
        <w:autoSpaceDN/>
        <w:bidi w:val="0"/>
        <w:spacing w:after="0" w:afterLines="0" w:line="400" w:lineRule="exact"/>
        <w:ind w:firstLine="420" w:firstLineChars="200"/>
        <w:rPr>
          <w:rFonts w:hint="eastAsia" w:ascii="宋体" w:hAnsi="宋体" w:eastAsia="宋体" w:cs="宋体"/>
          <w:color w:val="auto"/>
          <w:sz w:val="21"/>
          <w:szCs w:val="21"/>
          <w:vertAlign w:val="baseline"/>
        </w:rPr>
      </w:pPr>
      <w:r>
        <w:rPr>
          <w:rFonts w:hint="eastAsia" w:ascii="宋体" w:hAnsi="宋体" w:eastAsia="宋体" w:cs="宋体"/>
          <w:color w:val="auto"/>
          <w:sz w:val="21"/>
          <w:szCs w:val="21"/>
          <w:vertAlign w:val="baseline"/>
        </w:rPr>
        <w:t>经深度净化后的烟气进入干燥塔，用93%左右的浓硫酸进一步干燥烟气中的水分，干燥后的烟气通过二氧化硫风机按顺序依次进入Ⅲ换热器、预转化段、1#余热锅炉、转化一段、Ⅰ转化器、转化二段、Ⅱ转化器、转化三段、Ⅲ转化器、2#余热锅炉，换热的同时将烟气中大部分二氧化硫转化为三氧化硫。而后从2#余热锅炉和省煤器进入低温余热回收系统中的蒸汽喷射系统为烟气升温，升温后的烟气进入</w:t>
      </w:r>
      <w:r>
        <w:rPr>
          <w:rFonts w:hint="eastAsia" w:ascii="宋体" w:hAnsi="宋体" w:eastAsia="宋体" w:cs="宋体"/>
          <w:color w:val="auto"/>
          <w:sz w:val="21"/>
          <w:szCs w:val="21"/>
          <w:u w:val="none"/>
          <w:vertAlign w:val="baseline"/>
        </w:rPr>
        <w:t>高温吸收塔内，升温后的烟气自下而上流动，首先在塔内主体段完成三氧化硫的吸收，随后在塔顶经纤维除雾器进行高效除雾，以确保出口烟气的洁净度。除雾后的烟气</w:t>
      </w:r>
      <w:r>
        <w:rPr>
          <w:rFonts w:hint="eastAsia" w:ascii="宋体" w:hAnsi="宋体" w:eastAsia="宋体" w:cs="宋体"/>
          <w:color w:val="auto"/>
          <w:sz w:val="21"/>
          <w:szCs w:val="21"/>
          <w:vertAlign w:val="baseline"/>
        </w:rPr>
        <w:t>按顺序依次进入Ⅳ换热器、Ⅱ换热器、转化四段、Ⅳ换热器，将一次转化未完全的二氧化硫进行二次转化为三氧化硫，二次转化后的烟气从Ⅳ换热器进入二吸塔，进一步吸收三氧化硫。</w:t>
      </w:r>
    </w:p>
    <w:p w14:paraId="47AD2F76">
      <w:pPr>
        <w:pStyle w:val="7"/>
        <w:pageBreakBefore w:val="0"/>
        <w:kinsoku/>
        <w:wordWrap/>
        <w:overflowPunct/>
        <w:topLinePunct w:val="0"/>
        <w:autoSpaceDE/>
        <w:autoSpaceDN/>
        <w:bidi w:val="0"/>
        <w:spacing w:after="0" w:afterLines="0" w:line="400" w:lineRule="exact"/>
        <w:ind w:firstLine="420" w:firstLineChars="200"/>
        <w:rPr>
          <w:rFonts w:hint="eastAsia" w:ascii="宋体" w:hAnsi="宋体" w:eastAsia="宋体" w:cs="宋体"/>
          <w:color w:val="auto"/>
          <w:sz w:val="21"/>
          <w:szCs w:val="21"/>
          <w:vertAlign w:val="baseline"/>
        </w:rPr>
      </w:pPr>
      <w:r>
        <w:rPr>
          <w:rFonts w:hint="eastAsia" w:ascii="宋体" w:hAnsi="宋体" w:eastAsia="宋体" w:cs="宋体"/>
          <w:color w:val="auto"/>
          <w:sz w:val="21"/>
          <w:szCs w:val="21"/>
          <w:vertAlign w:val="baseline"/>
        </w:rPr>
        <w:t>二次吸收后的烟气去往双氧水脱硫塔，利用双氧水的特性，将二氧化硫氧化为硫酸，从而实现烟气中二氧化硫的分离，脱除剩余的少量未转化的二氧化硫；而后烟气进入臭氧脱硝塔，利用臭氧的特性将烟气中不溶于水的低价氮氧化物氧化为可溶于水的高价氮氧化物，再用液碱在臭氧脱硝塔内脱除烟气中被臭氧氧化后的高价氮氧化物，从而脱除烟气中的氮氧化物；脱硫脱硝后的烟气经过湿式电除雾器除去烟气中雾沫、颗粒物、水分等杂质后送往烟囱达标排放。</w:t>
      </w:r>
    </w:p>
    <w:p w14:paraId="5B0C5F9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2.2 硫酸循环系统</w:t>
      </w:r>
    </w:p>
    <w:p w14:paraId="66CF3F4C">
      <w:pPr>
        <w:pStyle w:val="7"/>
        <w:pageBreakBefore w:val="0"/>
        <w:kinsoku/>
        <w:wordWrap/>
        <w:overflowPunct/>
        <w:topLinePunct w:val="0"/>
        <w:autoSpaceDE/>
        <w:autoSpaceDN/>
        <w:bidi w:val="0"/>
        <w:spacing w:after="0" w:afterLines="0" w:line="400" w:lineRule="exact"/>
        <w:ind w:firstLine="420" w:firstLineChars="200"/>
        <w:rPr>
          <w:rFonts w:hint="eastAsia" w:ascii="宋体" w:hAnsi="宋体" w:eastAsia="宋体" w:cs="宋体"/>
          <w:color w:val="auto"/>
          <w:sz w:val="21"/>
          <w:szCs w:val="21"/>
          <w:vertAlign w:val="baseline"/>
        </w:rPr>
      </w:pPr>
      <w:r>
        <w:rPr>
          <w:rFonts w:hint="eastAsia" w:ascii="宋体" w:hAnsi="宋体" w:eastAsia="宋体" w:cs="宋体"/>
          <w:color w:val="auto"/>
          <w:sz w:val="21"/>
          <w:szCs w:val="21"/>
          <w:vertAlign w:val="baseline"/>
        </w:rPr>
        <w:t>一次转化后得到的三氧化硫在高温吸收塔内，经一级99%浓度硫酸和二级来自二吸阳保出口的约98.5%浓度硫酸依次吸收。吸收后的约99.6%浓度硫酸经低温余热回收系统中与脱盐水换热降温后送往干燥循环槽和二吸循环槽，以维持干燥循环槽和二吸循环槽酸浓。</w:t>
      </w:r>
    </w:p>
    <w:p w14:paraId="209EF9BB">
      <w:pPr>
        <w:pStyle w:val="7"/>
        <w:pageBreakBefore w:val="0"/>
        <w:kinsoku/>
        <w:wordWrap/>
        <w:overflowPunct/>
        <w:topLinePunct w:val="0"/>
        <w:autoSpaceDE/>
        <w:autoSpaceDN/>
        <w:bidi w:val="0"/>
        <w:spacing w:after="0" w:afterLines="0" w:line="400" w:lineRule="exact"/>
        <w:ind w:firstLine="420" w:firstLineChars="200"/>
        <w:rPr>
          <w:rFonts w:hint="eastAsia" w:ascii="宋体" w:hAnsi="宋体" w:eastAsia="宋体" w:cs="宋体"/>
          <w:color w:val="auto"/>
          <w:sz w:val="21"/>
          <w:szCs w:val="21"/>
          <w:vertAlign w:val="baseline"/>
        </w:rPr>
      </w:pPr>
      <w:r>
        <w:rPr>
          <w:rFonts w:hint="eastAsia" w:ascii="宋体" w:hAnsi="宋体" w:eastAsia="宋体" w:cs="宋体"/>
          <w:color w:val="auto"/>
          <w:sz w:val="21"/>
          <w:szCs w:val="21"/>
          <w:vertAlign w:val="baseline"/>
        </w:rPr>
        <w:t>干燥塔内以93%浓度硫酸来干燥烟气中的水分，干燥后的硫酸自干燥阳极保护酸冷器进口送往低温余热回收系统中的混合器和二吸循环槽，以维持干燥循环槽的液位。</w:t>
      </w:r>
    </w:p>
    <w:p w14:paraId="799258A9">
      <w:pPr>
        <w:pStyle w:val="7"/>
        <w:pageBreakBefore w:val="0"/>
        <w:kinsoku/>
        <w:wordWrap/>
        <w:overflowPunct/>
        <w:topLinePunct w:val="0"/>
        <w:autoSpaceDE/>
        <w:autoSpaceDN/>
        <w:bidi w:val="0"/>
        <w:spacing w:after="0" w:afterLines="0" w:line="400" w:lineRule="exact"/>
        <w:ind w:firstLine="420" w:firstLineChars="200"/>
        <w:rPr>
          <w:rFonts w:hint="eastAsia" w:ascii="宋体" w:hAnsi="宋体" w:eastAsia="宋体" w:cs="宋体"/>
          <w:color w:val="auto"/>
          <w:sz w:val="21"/>
          <w:szCs w:val="21"/>
          <w:vertAlign w:val="baseline"/>
        </w:rPr>
      </w:pPr>
      <w:r>
        <w:rPr>
          <w:rFonts w:hint="eastAsia" w:ascii="宋体" w:hAnsi="宋体" w:eastAsia="宋体" w:cs="宋体"/>
          <w:color w:val="auto"/>
          <w:sz w:val="21"/>
          <w:szCs w:val="21"/>
          <w:vertAlign w:val="baseline"/>
        </w:rPr>
        <w:t>二次转化后得到的三氧化硫在二吸塔内以约98.5%浓度浓硫酸吸收，吸收后的浓硫酸经二吸阳极保护酸冷器降温，降温后的浓硫酸一部分送往二吸塔顶继续吸收；一部分送往低温余热回收系统高温吸收塔二级喷淋，吸收高温吸收塔一级喷淋未吸收完全的三氧化硫，以保证吸收率和保护高温吸收塔出口温度；最后一部分送往成品酸阳极保护酸冷器二次降温，而后通过成品酸地下槽送往酸库完成产酸。</w:t>
      </w:r>
    </w:p>
    <w:p w14:paraId="34C78756">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2.3 低温余热回收系统</w:t>
      </w:r>
    </w:p>
    <w:p w14:paraId="6A3ED3A2">
      <w:pPr>
        <w:pStyle w:val="7"/>
        <w:pageBreakBefore w:val="0"/>
        <w:kinsoku/>
        <w:wordWrap/>
        <w:overflowPunct/>
        <w:topLinePunct w:val="0"/>
        <w:autoSpaceDE/>
        <w:autoSpaceDN/>
        <w:bidi w:val="0"/>
        <w:spacing w:after="0" w:afterLines="0" w:line="400" w:lineRule="exact"/>
        <w:rPr>
          <w:rFonts w:hint="eastAsia" w:ascii="宋体" w:hAnsi="宋体" w:eastAsia="宋体" w:cs="宋体"/>
          <w:color w:val="auto"/>
          <w:sz w:val="21"/>
          <w:szCs w:val="21"/>
          <w:vertAlign w:val="baseline"/>
          <w:lang w:eastAsia="zh-CN"/>
        </w:rPr>
      </w:pPr>
      <w:r>
        <w:rPr>
          <w:rFonts w:hint="eastAsia" w:ascii="宋体" w:hAnsi="宋体" w:eastAsia="宋体" w:cs="宋体"/>
          <w:color w:val="auto"/>
          <w:sz w:val="21"/>
          <w:szCs w:val="21"/>
          <w:vertAlign w:val="baseline"/>
        </w:rPr>
        <w:t>采用设计完善的低温余热回收系统，其设备工艺流程图见图2</w:t>
      </w:r>
      <w:r>
        <w:rPr>
          <w:rFonts w:hint="eastAsia" w:ascii="宋体" w:hAnsi="宋体" w:eastAsia="宋体" w:cs="宋体"/>
          <w:color w:val="auto"/>
          <w:sz w:val="21"/>
          <w:szCs w:val="21"/>
          <w:vertAlign w:val="baseline"/>
          <w:lang w:eastAsia="zh-CN"/>
        </w:rPr>
        <w:t>。</w:t>
      </w:r>
    </w:p>
    <w:p w14:paraId="6426647F">
      <w:pPr>
        <w:pageBreakBefore w:val="0"/>
        <w:kinsoku/>
        <w:wordWrap/>
        <w:overflowPunct/>
        <w:topLinePunct w:val="0"/>
        <w:autoSpaceDE/>
        <w:autoSpaceDN/>
        <w:bidi w:val="0"/>
        <w:spacing w:line="240" w:lineRule="auto"/>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drawing>
          <wp:inline distT="0" distB="0" distL="114300" distR="114300">
            <wp:extent cx="5266690" cy="2940685"/>
            <wp:effectExtent l="0" t="0" r="10160" b="12065"/>
            <wp:docPr id="4" name="图片 4" descr="_cgi-bin_mmwebwx-bin_webwxgetmsgimg__&amp;MsgID=7433088755494071359&amp;skey=@crypt_a493b86a_da982f1ecce6e60ad29ee3889fed5f54&amp;mmweb_appid=wx_webfilehel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_cgi-bin_mmwebwx-bin_webwxgetmsgimg__&amp;MsgID=7433088755494071359&amp;skey=@crypt_a493b86a_da982f1ecce6e60ad29ee3889fed5f54&amp;mmweb_appid=wx_webfilehelper"/>
                    <pic:cNvPicPr>
                      <a:picLocks noChangeAspect="1"/>
                    </pic:cNvPicPr>
                  </pic:nvPicPr>
                  <pic:blipFill>
                    <a:blip r:embed="rId5"/>
                    <a:srcRect b="8605"/>
                    <a:stretch>
                      <a:fillRect/>
                    </a:stretch>
                  </pic:blipFill>
                  <pic:spPr>
                    <a:xfrm>
                      <a:off x="0" y="0"/>
                      <a:ext cx="5266690" cy="2940685"/>
                    </a:xfrm>
                    <a:prstGeom prst="rect">
                      <a:avLst/>
                    </a:prstGeom>
                  </pic:spPr>
                </pic:pic>
              </a:graphicData>
            </a:graphic>
          </wp:inline>
        </w:drawing>
      </w:r>
    </w:p>
    <w:p w14:paraId="11EF02EB">
      <w:pPr>
        <w:pStyle w:val="46"/>
        <w:pageBreakBefore w:val="0"/>
        <w:kinsoku/>
        <w:wordWrap/>
        <w:overflowPunct/>
        <w:topLinePunct w:val="0"/>
        <w:autoSpaceDE/>
        <w:autoSpaceDN/>
        <w:bidi w:val="0"/>
        <w:spacing w:before="0" w:after="0" w:line="400" w:lineRule="exact"/>
        <w:rPr>
          <w:rFonts w:hint="eastAsia" w:ascii="宋体" w:hAnsi="宋体" w:eastAsia="宋体" w:cs="宋体"/>
          <w:sz w:val="21"/>
          <w:szCs w:val="21"/>
          <w:vertAlign w:val="baseline"/>
        </w:rPr>
      </w:pPr>
      <w:r>
        <w:rPr>
          <w:rFonts w:hint="eastAsia" w:ascii="宋体" w:hAnsi="宋体" w:eastAsia="宋体" w:cs="宋体"/>
          <w:sz w:val="21"/>
          <w:szCs w:val="21"/>
          <w:u w:val="none"/>
          <w:vertAlign w:val="baseline"/>
        </w:rPr>
        <w:t>（图2 工艺图）</w:t>
      </w:r>
    </w:p>
    <w:p w14:paraId="697AE539">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2.3.1 低温余热回收酸系统</w:t>
      </w:r>
    </w:p>
    <w:p w14:paraId="5FA10073">
      <w:pPr>
        <w:pStyle w:val="7"/>
        <w:pageBreakBefore w:val="0"/>
        <w:widowControl/>
        <w:kinsoku/>
        <w:wordWrap/>
        <w:overflowPunct/>
        <w:topLinePunct w:val="0"/>
        <w:autoSpaceDE/>
        <w:autoSpaceDN/>
        <w:bidi w:val="0"/>
        <w:spacing w:after="0" w:afterLines="0" w:line="400" w:lineRule="exact"/>
        <w:ind w:firstLine="420" w:firstLineChars="200"/>
        <w:rPr>
          <w:rFonts w:hint="eastAsia" w:ascii="宋体" w:hAnsi="宋体" w:eastAsia="宋体" w:cs="宋体"/>
          <w:color w:val="auto"/>
          <w:sz w:val="21"/>
          <w:szCs w:val="21"/>
          <w:u w:val="none"/>
        </w:rPr>
      </w:pPr>
      <w:r>
        <w:rPr>
          <w:rFonts w:hint="eastAsia" w:ascii="宋体" w:hAnsi="宋体" w:eastAsia="宋体" w:cs="宋体"/>
          <w:color w:val="auto"/>
          <w:sz w:val="21"/>
          <w:szCs w:val="21"/>
          <w:u w:val="none"/>
        </w:rPr>
        <w:t>系统以高温浓硫酸为热媒，实现热量的回收。来自高温吸收塔底部的浓硫酸，经循环槽和泵送入蒸汽发生器完成换热产汽后，酸路分叉为两条支路：</w:t>
      </w:r>
    </w:p>
    <w:p w14:paraId="49F6ECB3">
      <w:pPr>
        <w:pStyle w:val="7"/>
        <w:pageBreakBefore w:val="0"/>
        <w:widowControl/>
        <w:kinsoku/>
        <w:wordWrap/>
        <w:overflowPunct/>
        <w:topLinePunct w:val="0"/>
        <w:autoSpaceDE/>
        <w:autoSpaceDN/>
        <w:bidi w:val="0"/>
        <w:spacing w:after="0" w:afterLines="0" w:line="400" w:lineRule="exact"/>
        <w:ind w:firstLine="420" w:firstLineChars="200"/>
        <w:rPr>
          <w:rFonts w:hint="eastAsia" w:ascii="宋体" w:hAnsi="宋体" w:eastAsia="宋体" w:cs="宋体"/>
          <w:color w:val="auto"/>
          <w:sz w:val="21"/>
          <w:szCs w:val="21"/>
          <w:u w:val="none"/>
        </w:rPr>
      </w:pPr>
      <w:r>
        <w:rPr>
          <w:rFonts w:hint="eastAsia" w:ascii="宋体" w:hAnsi="宋体" w:eastAsia="宋体" w:cs="宋体"/>
          <w:color w:val="auto"/>
          <w:sz w:val="21"/>
          <w:szCs w:val="21"/>
          <w:u w:val="none"/>
        </w:rPr>
        <w:t>循环吸收支路：一部分酸进入混合器，补充除氧水调节酸浓后回塔第一段填料层，继续吸收三氧化硫。</w:t>
      </w:r>
    </w:p>
    <w:p w14:paraId="4DB275ED">
      <w:pPr>
        <w:pStyle w:val="7"/>
        <w:pageBreakBefore w:val="0"/>
        <w:widowControl/>
        <w:kinsoku/>
        <w:wordWrap/>
        <w:overflowPunct/>
        <w:topLinePunct w:val="0"/>
        <w:autoSpaceDE/>
        <w:autoSpaceDN/>
        <w:bidi w:val="0"/>
        <w:spacing w:after="0" w:afterLines="0" w:line="400" w:lineRule="exact"/>
        <w:ind w:firstLine="420" w:firstLineChars="200"/>
        <w:rPr>
          <w:rFonts w:hint="eastAsia" w:ascii="宋体" w:hAnsi="宋体" w:eastAsia="宋体" w:cs="宋体"/>
          <w:color w:val="auto"/>
          <w:sz w:val="21"/>
          <w:szCs w:val="21"/>
          <w:u w:val="none"/>
        </w:rPr>
      </w:pPr>
      <w:bookmarkStart w:id="0" w:name="_GoBack"/>
      <w:bookmarkEnd w:id="0"/>
      <w:r>
        <w:rPr>
          <w:rFonts w:hint="eastAsia" w:ascii="宋体" w:hAnsi="宋体" w:eastAsia="宋体" w:cs="宋体"/>
          <w:color w:val="auto"/>
          <w:sz w:val="21"/>
          <w:szCs w:val="21"/>
          <w:u w:val="none"/>
        </w:rPr>
        <w:t>梯级降温支路：另一部分酸依次流经给水加热器（与脱盐水换热至160℃）、蒸发除氧器（换热至120℃，同时驱动脱盐水除氧并副产0.1MPag低压乏汽）和脱盐水加热器（最终降温至90℃），完成热量梯级利用后送至干燥及二吸循环槽。</w:t>
      </w:r>
    </w:p>
    <w:p w14:paraId="36AA472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2.3.2 低温余热回收水系统</w:t>
      </w:r>
    </w:p>
    <w:p w14:paraId="6D02DA64">
      <w:pPr>
        <w:pStyle w:val="7"/>
        <w:pageBreakBefore w:val="0"/>
        <w:kinsoku/>
        <w:wordWrap/>
        <w:overflowPunct/>
        <w:topLinePunct w:val="0"/>
        <w:autoSpaceDE/>
        <w:autoSpaceDN/>
        <w:bidi w:val="0"/>
        <w:spacing w:after="0" w:afterLines="0" w:line="400" w:lineRule="exact"/>
        <w:ind w:firstLine="420" w:firstLineChars="200"/>
        <w:rPr>
          <w:rFonts w:hint="eastAsia" w:ascii="宋体" w:hAnsi="宋体" w:eastAsia="宋体" w:cs="宋体"/>
          <w:color w:val="auto"/>
          <w:sz w:val="21"/>
          <w:szCs w:val="21"/>
          <w:vertAlign w:val="baseline"/>
        </w:rPr>
      </w:pPr>
      <w:r>
        <w:rPr>
          <w:rFonts w:hint="eastAsia" w:ascii="宋体" w:hAnsi="宋体" w:eastAsia="宋体" w:cs="宋体"/>
          <w:color w:val="auto"/>
          <w:sz w:val="21"/>
          <w:szCs w:val="21"/>
          <w:vertAlign w:val="baseline"/>
        </w:rPr>
        <w:t>来自外界的脱盐水进入脱盐水箱，从脱盐水箱底部经脱盐水泵加压后进入脱盐水加热器，与浓硫酸换热升温至约120℃后进入蒸发除氧器；进入蒸发除氧器的脱盐水与经过蒸发除氧器的浓硫酸换热升温，同时脱除脱盐水中的氧气；从蒸发除氧器而出的脱盐水分为两部分，一部分通过喷射水泵送往混合器，以调节高温吸收塔一级喷淋酸浓；另一部分通过低压给水泵加压后进入给水加热器，与浓硫酸换热升温至约160℃后进入蒸汽发生器。</w:t>
      </w:r>
    </w:p>
    <w:p w14:paraId="5E174618">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2.3.3 低温余热回收蒸汽系统</w:t>
      </w:r>
    </w:p>
    <w:p w14:paraId="0D8E81C4">
      <w:pPr>
        <w:pStyle w:val="7"/>
        <w:pageBreakBefore w:val="0"/>
        <w:kinsoku/>
        <w:wordWrap/>
        <w:overflowPunct/>
        <w:topLinePunct w:val="0"/>
        <w:autoSpaceDE/>
        <w:autoSpaceDN/>
        <w:bidi w:val="0"/>
        <w:spacing w:after="0" w:afterLines="0" w:line="400" w:lineRule="exact"/>
        <w:ind w:firstLine="420" w:firstLineChars="200"/>
        <w:rPr>
          <w:rFonts w:hint="eastAsia" w:ascii="宋体" w:hAnsi="宋体" w:eastAsia="宋体" w:cs="宋体"/>
          <w:color w:val="auto"/>
          <w:sz w:val="21"/>
          <w:szCs w:val="21"/>
          <w:vertAlign w:val="baseline"/>
        </w:rPr>
      </w:pPr>
      <w:r>
        <w:rPr>
          <w:rFonts w:hint="eastAsia" w:ascii="宋体" w:hAnsi="宋体" w:eastAsia="宋体" w:cs="宋体"/>
          <w:color w:val="auto"/>
          <w:sz w:val="21"/>
          <w:szCs w:val="21"/>
          <w:vertAlign w:val="baseline"/>
        </w:rPr>
        <w:t>进入蒸发除氧器与浓硫酸换热升温后的脱盐水部分蒸发，产生0.1Mpa左右的低压乏汽，乏汽</w:t>
      </w:r>
      <w:r>
        <w:rPr>
          <w:rFonts w:hint="eastAsia" w:ascii="宋体" w:hAnsi="宋体" w:eastAsia="宋体" w:cs="宋体"/>
          <w:color w:val="auto"/>
          <w:sz w:val="21"/>
          <w:szCs w:val="21"/>
          <w:vertAlign w:val="baseline"/>
          <w:lang w:eastAsia="zh-CN"/>
        </w:rPr>
        <w:t>送往</w:t>
      </w:r>
      <w:r>
        <w:rPr>
          <w:rFonts w:hint="eastAsia" w:ascii="宋体" w:hAnsi="宋体" w:eastAsia="宋体" w:cs="宋体"/>
          <w:color w:val="auto"/>
          <w:sz w:val="21"/>
          <w:szCs w:val="21"/>
          <w:vertAlign w:val="baseline"/>
        </w:rPr>
        <w:t>高温吸收塔烟道，以蒸汽喷射的形式为烟气升温。从给水加热器而来的脱盐水进入蒸发除氧器与浓硫酸换热进一步升温蒸发产生0.8Mpa左右的蒸汽送往汽轮机发电和蒸汽外售。</w:t>
      </w:r>
    </w:p>
    <w:p w14:paraId="3117F30C">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 低温余热回收系统生产情况</w:t>
      </w:r>
    </w:p>
    <w:p w14:paraId="4782539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3.1 经济指标</w:t>
      </w:r>
    </w:p>
    <w:p w14:paraId="4C648C81">
      <w:pPr>
        <w:pStyle w:val="7"/>
        <w:pageBreakBefore w:val="0"/>
        <w:kinsoku/>
        <w:wordWrap/>
        <w:overflowPunct/>
        <w:topLinePunct w:val="0"/>
        <w:autoSpaceDE/>
        <w:autoSpaceDN/>
        <w:bidi w:val="0"/>
        <w:spacing w:after="0" w:afterLines="0" w:line="400" w:lineRule="exact"/>
        <w:ind w:firstLine="420" w:firstLineChars="200"/>
        <w:rPr>
          <w:rFonts w:hint="eastAsia" w:ascii="宋体" w:hAnsi="宋体" w:eastAsia="宋体" w:cs="宋体"/>
          <w:color w:val="auto"/>
          <w:sz w:val="21"/>
          <w:szCs w:val="21"/>
          <w:vertAlign w:val="baseline"/>
        </w:rPr>
      </w:pPr>
      <w:r>
        <w:rPr>
          <w:rFonts w:hint="eastAsia" w:ascii="宋体" w:hAnsi="宋体" w:eastAsia="宋体" w:cs="宋体"/>
          <w:color w:val="auto"/>
          <w:sz w:val="21"/>
          <w:szCs w:val="21"/>
          <w:vertAlign w:val="baseline"/>
        </w:rPr>
        <w:t>直接经济收益：装置投运近一年来，平均日产蒸汽约700吨，折合日均产值10万元。以年运行300天计算，年创经济效益约3000万元，成果显著。</w:t>
      </w:r>
    </w:p>
    <w:p w14:paraId="6E2D1AA9">
      <w:pPr>
        <w:pStyle w:val="7"/>
        <w:pageBreakBefore w:val="0"/>
        <w:kinsoku/>
        <w:wordWrap/>
        <w:overflowPunct/>
        <w:topLinePunct w:val="0"/>
        <w:autoSpaceDE/>
        <w:autoSpaceDN/>
        <w:bidi w:val="0"/>
        <w:spacing w:after="0" w:afterLines="0" w:line="400" w:lineRule="exact"/>
        <w:ind w:firstLine="420" w:firstLineChars="200"/>
        <w:rPr>
          <w:rFonts w:hint="eastAsia" w:ascii="宋体" w:hAnsi="宋体" w:eastAsia="宋体" w:cs="宋体"/>
          <w:color w:val="auto"/>
          <w:sz w:val="21"/>
          <w:szCs w:val="21"/>
          <w:vertAlign w:val="baseline"/>
        </w:rPr>
      </w:pPr>
      <w:r>
        <w:rPr>
          <w:rFonts w:hint="eastAsia" w:ascii="宋体" w:hAnsi="宋体" w:eastAsia="宋体" w:cs="宋体"/>
          <w:color w:val="auto"/>
          <w:sz w:val="21"/>
          <w:szCs w:val="21"/>
          <w:vertAlign w:val="baseline"/>
        </w:rPr>
        <w:t>产能提升空间：目前经济效益虽显著，但尚未触及设计峰值，经分析主要</w:t>
      </w:r>
      <w:r>
        <w:rPr>
          <w:rFonts w:hint="eastAsia" w:ascii="宋体" w:hAnsi="宋体" w:eastAsia="宋体" w:cs="宋体"/>
          <w:color w:val="auto"/>
          <w:sz w:val="21"/>
          <w:szCs w:val="21"/>
          <w:vertAlign w:val="baseline"/>
          <w:lang w:val="en-US" w:eastAsia="zh-CN"/>
        </w:rPr>
        <w:t>是</w:t>
      </w:r>
      <w:r>
        <w:rPr>
          <w:rFonts w:hint="eastAsia" w:ascii="宋体" w:hAnsi="宋体" w:eastAsia="宋体" w:cs="宋体"/>
          <w:color w:val="auto"/>
          <w:sz w:val="21"/>
          <w:szCs w:val="21"/>
          <w:vertAlign w:val="baseline"/>
        </w:rPr>
        <w:t>蒸汽喷射系统尚未投入使用所致，后续具备较大提升空间。</w:t>
      </w:r>
    </w:p>
    <w:p w14:paraId="3BEA85BE">
      <w:pPr>
        <w:pStyle w:val="7"/>
        <w:pageBreakBefore w:val="0"/>
        <w:kinsoku/>
        <w:wordWrap/>
        <w:overflowPunct/>
        <w:topLinePunct w:val="0"/>
        <w:autoSpaceDE/>
        <w:autoSpaceDN/>
        <w:bidi w:val="0"/>
        <w:spacing w:after="0" w:afterLines="0" w:line="400" w:lineRule="exact"/>
        <w:ind w:firstLine="420" w:firstLineChars="200"/>
        <w:rPr>
          <w:rFonts w:hint="eastAsia" w:ascii="宋体" w:hAnsi="宋体" w:eastAsia="宋体" w:cs="宋体"/>
          <w:color w:val="auto"/>
          <w:sz w:val="21"/>
          <w:szCs w:val="21"/>
          <w:vertAlign w:val="baseline"/>
        </w:rPr>
      </w:pPr>
      <w:r>
        <w:rPr>
          <w:rFonts w:hint="eastAsia" w:ascii="宋体" w:hAnsi="宋体" w:eastAsia="宋体" w:cs="宋体"/>
          <w:color w:val="auto"/>
          <w:sz w:val="21"/>
          <w:szCs w:val="21"/>
          <w:vertAlign w:val="baseline"/>
        </w:rPr>
        <w:t>附加品质效益：通过引入脱盐水制酸工艺替代原生产水，有效降低了成品硫酸中钙、镁、铁等杂质含量，显著改善了产品品质，大幅提升了浓硫酸的产品等级，增强了市场竞争力。</w:t>
      </w:r>
    </w:p>
    <w:p w14:paraId="3DE4CC71">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3.2 存在的问题及改进措施</w:t>
      </w:r>
    </w:p>
    <w:p w14:paraId="3335FBF2">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3.2.1 产蒸汽未全部利用</w:t>
      </w:r>
    </w:p>
    <w:p w14:paraId="05FC99A8">
      <w:pPr>
        <w:pStyle w:val="7"/>
        <w:pageBreakBefore w:val="0"/>
        <w:kinsoku/>
        <w:wordWrap/>
        <w:overflowPunct/>
        <w:topLinePunct w:val="0"/>
        <w:autoSpaceDE/>
        <w:autoSpaceDN/>
        <w:bidi w:val="0"/>
        <w:spacing w:after="0" w:afterLines="0" w:line="400" w:lineRule="exact"/>
        <w:ind w:firstLine="420" w:firstLineChars="200"/>
        <w:rPr>
          <w:rFonts w:hint="eastAsia" w:ascii="宋体" w:hAnsi="宋体" w:eastAsia="宋体" w:cs="宋体"/>
          <w:color w:val="auto"/>
          <w:sz w:val="21"/>
          <w:szCs w:val="21"/>
          <w:vertAlign w:val="baseline"/>
        </w:rPr>
      </w:pPr>
      <w:r>
        <w:rPr>
          <w:rFonts w:hint="eastAsia" w:ascii="宋体" w:hAnsi="宋体" w:eastAsia="宋体" w:cs="宋体"/>
          <w:color w:val="auto"/>
          <w:sz w:val="21"/>
          <w:szCs w:val="21"/>
          <w:vertAlign w:val="baseline"/>
        </w:rPr>
        <w:t>炉前正常生产时，低温余热回收系统产蒸汽在满足汽轮机发电和蒸汽外售的情况下，依然有约100t/d~200t/d的蒸汽排空，造成蒸汽浪费，后续计划新增汽轮机以避免资源浪费。</w:t>
      </w:r>
    </w:p>
    <w:p w14:paraId="2E454F7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3.2.2 高温吸收塔一级高温酸浓分析仪故障</w:t>
      </w:r>
    </w:p>
    <w:p w14:paraId="2E2B954D">
      <w:pPr>
        <w:pStyle w:val="7"/>
        <w:pageBreakBefore w:val="0"/>
        <w:kinsoku/>
        <w:wordWrap/>
        <w:overflowPunct/>
        <w:topLinePunct w:val="0"/>
        <w:autoSpaceDE/>
        <w:autoSpaceDN/>
        <w:bidi w:val="0"/>
        <w:spacing w:after="0" w:afterLines="0" w:line="400" w:lineRule="exact"/>
        <w:ind w:firstLine="420" w:firstLineChars="200"/>
        <w:rPr>
          <w:rFonts w:hint="eastAsia" w:ascii="宋体" w:hAnsi="宋体" w:eastAsia="宋体" w:cs="宋体"/>
          <w:color w:val="auto"/>
          <w:sz w:val="21"/>
          <w:szCs w:val="21"/>
          <w:vertAlign w:val="baseline"/>
        </w:rPr>
      </w:pPr>
      <w:r>
        <w:rPr>
          <w:rFonts w:hint="eastAsia" w:ascii="宋体" w:hAnsi="宋体" w:eastAsia="宋体" w:cs="宋体"/>
          <w:color w:val="auto"/>
          <w:sz w:val="21"/>
          <w:szCs w:val="21"/>
          <w:vertAlign w:val="baseline"/>
        </w:rPr>
        <w:t>系统投入长时间运行一段时间后，一级高温酸浓分析仪内产生气泡导致分析酸浓不准，表现为DCS酸浓值上下波动，且波动范围较大。此故障直接导致DCS自动控制的混合器加水量波动范围变大，使一级进塔酸浓度波动变大，直接影响了高温吸收塔的吸收率和设备腐蚀率，间接</w:t>
      </w:r>
      <w:r>
        <w:rPr>
          <w:rFonts w:hint="eastAsia" w:ascii="宋体" w:hAnsi="宋体" w:eastAsia="宋体" w:cs="宋体"/>
          <w:color w:val="auto"/>
          <w:sz w:val="21"/>
          <w:szCs w:val="21"/>
          <w:vertAlign w:val="baseline"/>
          <w:lang w:eastAsia="zh-CN"/>
        </w:rPr>
        <w:t>地</w:t>
      </w:r>
      <w:r>
        <w:rPr>
          <w:rFonts w:hint="eastAsia" w:ascii="宋体" w:hAnsi="宋体" w:eastAsia="宋体" w:cs="宋体"/>
          <w:color w:val="auto"/>
          <w:sz w:val="21"/>
          <w:szCs w:val="21"/>
          <w:vertAlign w:val="baseline"/>
        </w:rPr>
        <w:t>使后段如二次转化、二吸塔、脱硫工段的工艺指标难以控制。发现问题后及时冲洗高温酸浓分析仪，问题得以解决。</w:t>
      </w:r>
    </w:p>
    <w:p w14:paraId="2585504D">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3.2.3 高温吸收塔出口烟气温度过高</w:t>
      </w:r>
    </w:p>
    <w:p w14:paraId="7C59C339">
      <w:pPr>
        <w:pStyle w:val="7"/>
        <w:pageBreakBefore w:val="0"/>
        <w:kinsoku/>
        <w:wordWrap/>
        <w:overflowPunct/>
        <w:topLinePunct w:val="0"/>
        <w:autoSpaceDE/>
        <w:autoSpaceDN/>
        <w:bidi w:val="0"/>
        <w:spacing w:after="0" w:afterLines="0" w:line="400" w:lineRule="exact"/>
        <w:ind w:firstLine="420" w:firstLineChars="200"/>
        <w:rPr>
          <w:rFonts w:hint="eastAsia" w:ascii="宋体" w:hAnsi="宋体" w:eastAsia="宋体" w:cs="宋体"/>
          <w:color w:val="auto"/>
          <w:sz w:val="21"/>
          <w:szCs w:val="21"/>
          <w:vertAlign w:val="baseline"/>
        </w:rPr>
      </w:pPr>
      <w:r>
        <w:rPr>
          <w:rFonts w:hint="eastAsia" w:ascii="宋体" w:hAnsi="宋体" w:eastAsia="宋体" w:cs="宋体"/>
          <w:color w:val="auto"/>
          <w:sz w:val="21"/>
          <w:szCs w:val="21"/>
          <w:vertAlign w:val="baseline"/>
        </w:rPr>
        <w:t>二吸阳极保护酸冷器长时间运行，降温效果变差，二吸阳保出口酸温升高，进一步导致高温吸收塔二级喷淋酸温超出设计值，使二级喷淋降温效果变差，高温吸收塔出口烟气温度升高。进而导致一系列后续问题如：转化四段温度升高、进二吸塔管道温度升高、成品酸温升高等问题。利用检修期间清洗或维修二级阳极保护酸冷器以改善阳保降温效果。</w:t>
      </w:r>
    </w:p>
    <w:p w14:paraId="4507B039">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3.2.4 高温循环酸泵跳停</w:t>
      </w:r>
    </w:p>
    <w:p w14:paraId="39CF8A8A">
      <w:pPr>
        <w:pStyle w:val="7"/>
        <w:pageBreakBefore w:val="0"/>
        <w:kinsoku/>
        <w:wordWrap/>
        <w:overflowPunct/>
        <w:topLinePunct w:val="0"/>
        <w:autoSpaceDE/>
        <w:autoSpaceDN/>
        <w:bidi w:val="0"/>
        <w:spacing w:after="0" w:afterLines="0" w:line="400" w:lineRule="exact"/>
        <w:ind w:firstLine="420" w:firstLineChars="200"/>
        <w:rPr>
          <w:rFonts w:hint="eastAsia" w:ascii="宋体" w:hAnsi="宋体" w:eastAsia="宋体" w:cs="宋体"/>
          <w:color w:val="auto"/>
          <w:sz w:val="21"/>
          <w:szCs w:val="21"/>
          <w:vertAlign w:val="baseline"/>
        </w:rPr>
      </w:pPr>
      <w:r>
        <w:rPr>
          <w:rFonts w:hint="eastAsia" w:ascii="宋体" w:hAnsi="宋体" w:eastAsia="宋体" w:cs="宋体"/>
          <w:color w:val="auto"/>
          <w:sz w:val="21"/>
          <w:szCs w:val="21"/>
          <w:vertAlign w:val="baseline"/>
        </w:rPr>
        <w:t>11月8日高温酸循环泵跳停，且二次启动失败致使整个系统停车、熔炼吹炼转出，原因为高温引起的高温循环泵风扇故障跳停，引起循环泵电机连锁跳停。目前采取加装遮阳装置的措施来避免高温，效果明显，再未出现此类情况，后续还需通过日常测量电机温度继续观察。</w:t>
      </w:r>
    </w:p>
    <w:p w14:paraId="4050212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 xml:space="preserve">3.2.5 产蒸汽量未到达最大值 </w:t>
      </w:r>
    </w:p>
    <w:p w14:paraId="5FEE7F81">
      <w:pPr>
        <w:pStyle w:val="7"/>
        <w:pageBreakBefore w:val="0"/>
        <w:kinsoku/>
        <w:wordWrap/>
        <w:overflowPunct/>
        <w:topLinePunct w:val="0"/>
        <w:autoSpaceDE/>
        <w:autoSpaceDN/>
        <w:bidi w:val="0"/>
        <w:spacing w:after="0" w:afterLines="0" w:line="400" w:lineRule="exact"/>
        <w:ind w:firstLine="420" w:firstLineChars="200"/>
        <w:rPr>
          <w:rFonts w:hint="eastAsia" w:ascii="宋体" w:hAnsi="宋体" w:eastAsia="宋体" w:cs="宋体"/>
          <w:color w:val="auto"/>
          <w:sz w:val="21"/>
          <w:szCs w:val="21"/>
          <w:vertAlign w:val="baseline"/>
        </w:rPr>
      </w:pPr>
      <w:r>
        <w:rPr>
          <w:rFonts w:hint="eastAsia" w:ascii="宋体" w:hAnsi="宋体" w:eastAsia="宋体" w:cs="宋体"/>
          <w:color w:val="auto"/>
          <w:sz w:val="21"/>
          <w:szCs w:val="21"/>
          <w:vertAlign w:val="baseline"/>
        </w:rPr>
        <w:t>因蒸汽喷射系统暂未投入的原因，使高温吸收塔吸收酸温未到达最大值，直接影响了蒸汽发生效率，计划于新增汽轮机项目投入时投入蒸汽喷射系统以使蒸发效率最大化。</w:t>
      </w:r>
    </w:p>
    <w:p w14:paraId="71D3511A">
      <w:pPr>
        <w:pStyle w:val="7"/>
        <w:pageBreakBefore w:val="0"/>
        <w:kinsoku/>
        <w:wordWrap/>
        <w:overflowPunct/>
        <w:topLinePunct w:val="0"/>
        <w:autoSpaceDE/>
        <w:autoSpaceDN/>
        <w:bidi w:val="0"/>
        <w:spacing w:after="0" w:afterLines="0" w:line="400" w:lineRule="exact"/>
        <w:ind w:firstLine="420" w:firstLineChars="200"/>
        <w:rPr>
          <w:rFonts w:hint="eastAsia" w:ascii="宋体" w:hAnsi="宋体" w:eastAsia="宋体" w:cs="宋体"/>
          <w:color w:val="auto"/>
          <w:sz w:val="21"/>
          <w:szCs w:val="21"/>
          <w:vertAlign w:val="baseline"/>
        </w:rPr>
      </w:pPr>
      <w:r>
        <w:rPr>
          <w:rFonts w:hint="eastAsia" w:ascii="宋体" w:hAnsi="宋体" w:eastAsia="宋体" w:cs="宋体"/>
          <w:color w:val="auto"/>
          <w:sz w:val="21"/>
          <w:szCs w:val="21"/>
          <w:vertAlign w:val="baseline"/>
        </w:rPr>
        <w:t>干燥进气温超出设计值，使得烟气中的水分大量进入干燥塔，降低干燥酸浓的同时又需要将过高的干燥液位串入混合器，使得产蒸汽量进一步降低。其主要原因在于净化工序气体冷却塔稀酸循环板式换热器移除的热量降低，导致干燥塔入塔烟气温度升高。在检修期间清洗板式换热器换热片后，效果显著提升。</w:t>
      </w:r>
    </w:p>
    <w:p w14:paraId="13BFDCC0">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 结语</w:t>
      </w:r>
    </w:p>
    <w:p w14:paraId="432366E6">
      <w:pPr>
        <w:pStyle w:val="7"/>
        <w:pageBreakBefore w:val="0"/>
        <w:kinsoku/>
        <w:wordWrap/>
        <w:overflowPunct/>
        <w:topLinePunct w:val="0"/>
        <w:autoSpaceDE/>
        <w:autoSpaceDN/>
        <w:bidi w:val="0"/>
        <w:spacing w:after="0" w:afterLines="0" w:line="400" w:lineRule="exact"/>
        <w:ind w:firstLine="420" w:firstLineChars="200"/>
        <w:rPr>
          <w:rFonts w:hint="eastAsia" w:ascii="宋体" w:hAnsi="宋体" w:eastAsia="宋体" w:cs="宋体"/>
          <w:color w:val="auto"/>
          <w:sz w:val="21"/>
          <w:szCs w:val="21"/>
          <w:vertAlign w:val="baseline"/>
        </w:rPr>
      </w:pPr>
      <w:r>
        <w:rPr>
          <w:rFonts w:hint="eastAsia" w:ascii="宋体" w:hAnsi="宋体" w:eastAsia="宋体" w:cs="宋体"/>
          <w:color w:val="auto"/>
          <w:sz w:val="21"/>
          <w:szCs w:val="21"/>
          <w:vertAlign w:val="baseline"/>
          <w:lang w:val="en-US" w:eastAsia="zh-CN"/>
        </w:rPr>
        <w:t>该</w:t>
      </w:r>
      <w:r>
        <w:rPr>
          <w:rFonts w:hint="eastAsia" w:ascii="宋体" w:hAnsi="宋体" w:eastAsia="宋体" w:cs="宋体"/>
          <w:color w:val="auto"/>
          <w:sz w:val="21"/>
          <w:szCs w:val="21"/>
          <w:vertAlign w:val="baseline"/>
        </w:rPr>
        <w:t>公司</w:t>
      </w:r>
      <w:r>
        <w:rPr>
          <w:rFonts w:hint="eastAsia" w:ascii="宋体" w:hAnsi="宋体" w:eastAsia="宋体" w:cs="宋体"/>
          <w:color w:val="auto"/>
          <w:sz w:val="21"/>
          <w:szCs w:val="21"/>
          <w:vertAlign w:val="baseline"/>
          <w:lang w:val="en-US" w:eastAsia="zh-CN"/>
        </w:rPr>
        <w:t>6</w:t>
      </w:r>
      <w:r>
        <w:rPr>
          <w:rFonts w:hint="eastAsia" w:ascii="宋体" w:hAnsi="宋体" w:eastAsia="宋体" w:cs="宋体"/>
          <w:color w:val="auto"/>
          <w:sz w:val="21"/>
          <w:szCs w:val="21"/>
          <w:vertAlign w:val="baseline"/>
        </w:rPr>
        <w:t>00kt/a制酸系统在加入低温余热回收项目后，近一年的生产实践表明，项目自动化程度高，操作人员易上手，劳动强度低，回收低温位热能效果显著，成品酸品优秀，多项指标</w:t>
      </w:r>
      <w:r>
        <w:rPr>
          <w:rFonts w:hint="eastAsia" w:ascii="宋体" w:hAnsi="宋体" w:eastAsia="宋体" w:cs="宋体"/>
          <w:color w:val="auto"/>
          <w:sz w:val="21"/>
          <w:szCs w:val="21"/>
          <w:vertAlign w:val="baseline"/>
          <w:lang w:val="en-US" w:eastAsia="zh-CN"/>
        </w:rPr>
        <w:t>较</w:t>
      </w:r>
      <w:r>
        <w:rPr>
          <w:rFonts w:hint="eastAsia" w:ascii="宋体" w:hAnsi="宋体" w:eastAsia="宋体" w:cs="宋体"/>
          <w:color w:val="auto"/>
          <w:sz w:val="21"/>
          <w:szCs w:val="21"/>
          <w:vertAlign w:val="baseline"/>
        </w:rPr>
        <w:t>好，整体运行稳中有进，经济效益仍有很大提升空间，未来发展态势良好。</w:t>
      </w:r>
    </w:p>
    <w:p w14:paraId="62C5D4C0">
      <w:pPr>
        <w:pageBreakBefore w:val="0"/>
        <w:kinsoku/>
        <w:wordWrap/>
        <w:overflowPunct/>
        <w:topLinePunct w:val="0"/>
        <w:autoSpaceDE/>
        <w:autoSpaceDN/>
        <w:bidi w:val="0"/>
        <w:spacing w:line="400" w:lineRule="exact"/>
        <w:ind w:firstLine="420" w:firstLineChars="0"/>
        <w:jc w:val="left"/>
        <w:rPr>
          <w:rFonts w:hint="eastAsia" w:ascii="宋体" w:hAnsi="宋体" w:eastAsia="宋体" w:cs="宋体"/>
          <w:color w:val="auto"/>
          <w:sz w:val="21"/>
          <w:szCs w:val="21"/>
          <w:vertAlign w:val="baseline"/>
          <w:lang w:val="en-US" w:eastAsia="zh-CN"/>
        </w:rPr>
      </w:pPr>
    </w:p>
    <w:p w14:paraId="4028E8B2">
      <w:pPr>
        <w:pageBreakBefore w:val="0"/>
        <w:kinsoku/>
        <w:wordWrap/>
        <w:overflowPunct/>
        <w:topLinePunct w:val="0"/>
        <w:autoSpaceDE/>
        <w:autoSpaceDN/>
        <w:bidi w:val="0"/>
        <w:spacing w:line="400" w:lineRule="exact"/>
        <w:jc w:val="left"/>
        <w:rPr>
          <w:rFonts w:hint="eastAsia" w:ascii="宋体" w:hAnsi="宋体" w:eastAsia="宋体" w:cs="宋体"/>
          <w:color w:val="auto"/>
          <w:sz w:val="21"/>
          <w:szCs w:val="21"/>
          <w:vertAlign w:val="baseline"/>
          <w:lang w:val="en-US" w:eastAsia="zh-CN"/>
        </w:rPr>
      </w:pPr>
    </w:p>
    <w:p w14:paraId="5E1E9A0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p>
    <w:sectPr>
      <w:pgSz w:w="11906" w:h="16838"/>
      <w:pgMar w:top="1814"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隶书">
    <w:panose1 w:val="0201050906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5ZmMwZTNkY2FjMjU1Y2Y4ZTlkNzhjNmI4MDEyNjcifQ=="/>
  </w:docVars>
  <w:rsids>
    <w:rsidRoot w:val="00DD4CC1"/>
    <w:rsid w:val="00036B5E"/>
    <w:rsid w:val="00047FC0"/>
    <w:rsid w:val="00060599"/>
    <w:rsid w:val="0008730F"/>
    <w:rsid w:val="000A4D30"/>
    <w:rsid w:val="001570A5"/>
    <w:rsid w:val="001653DA"/>
    <w:rsid w:val="00170655"/>
    <w:rsid w:val="001F16B8"/>
    <w:rsid w:val="001F268C"/>
    <w:rsid w:val="00205F95"/>
    <w:rsid w:val="00223CAE"/>
    <w:rsid w:val="00252BF1"/>
    <w:rsid w:val="00264F57"/>
    <w:rsid w:val="002A2FE8"/>
    <w:rsid w:val="002A6E7F"/>
    <w:rsid w:val="002D3AD9"/>
    <w:rsid w:val="0032324D"/>
    <w:rsid w:val="00326DED"/>
    <w:rsid w:val="00452666"/>
    <w:rsid w:val="0046021A"/>
    <w:rsid w:val="00472F07"/>
    <w:rsid w:val="00495E28"/>
    <w:rsid w:val="004A7308"/>
    <w:rsid w:val="004B658B"/>
    <w:rsid w:val="004E5974"/>
    <w:rsid w:val="004E639D"/>
    <w:rsid w:val="0052555F"/>
    <w:rsid w:val="00550EFD"/>
    <w:rsid w:val="005A641B"/>
    <w:rsid w:val="005B2031"/>
    <w:rsid w:val="006054C1"/>
    <w:rsid w:val="006278D9"/>
    <w:rsid w:val="006525A5"/>
    <w:rsid w:val="006B4EF3"/>
    <w:rsid w:val="006B523C"/>
    <w:rsid w:val="006C7D50"/>
    <w:rsid w:val="00704818"/>
    <w:rsid w:val="00735E72"/>
    <w:rsid w:val="00756BF6"/>
    <w:rsid w:val="007958E0"/>
    <w:rsid w:val="007A04D9"/>
    <w:rsid w:val="007C2153"/>
    <w:rsid w:val="007D0764"/>
    <w:rsid w:val="007F00BC"/>
    <w:rsid w:val="00844F2C"/>
    <w:rsid w:val="00852987"/>
    <w:rsid w:val="0087425D"/>
    <w:rsid w:val="00874940"/>
    <w:rsid w:val="009168ED"/>
    <w:rsid w:val="0093495B"/>
    <w:rsid w:val="0094356F"/>
    <w:rsid w:val="009819FE"/>
    <w:rsid w:val="00987F1F"/>
    <w:rsid w:val="00A0752B"/>
    <w:rsid w:val="00A1502F"/>
    <w:rsid w:val="00A3470B"/>
    <w:rsid w:val="00A633AE"/>
    <w:rsid w:val="00A81B9E"/>
    <w:rsid w:val="00AA011A"/>
    <w:rsid w:val="00AD6D59"/>
    <w:rsid w:val="00B05911"/>
    <w:rsid w:val="00B226D2"/>
    <w:rsid w:val="00B86F3C"/>
    <w:rsid w:val="00BD25C3"/>
    <w:rsid w:val="00BF5402"/>
    <w:rsid w:val="00C31229"/>
    <w:rsid w:val="00C76433"/>
    <w:rsid w:val="00CF58F8"/>
    <w:rsid w:val="00D203A8"/>
    <w:rsid w:val="00D36A6E"/>
    <w:rsid w:val="00D829F0"/>
    <w:rsid w:val="00DD4CC1"/>
    <w:rsid w:val="00DE0390"/>
    <w:rsid w:val="00DF0139"/>
    <w:rsid w:val="00E52C97"/>
    <w:rsid w:val="00E67BF2"/>
    <w:rsid w:val="00EC1DD6"/>
    <w:rsid w:val="00ED67A0"/>
    <w:rsid w:val="00F153FF"/>
    <w:rsid w:val="00F22786"/>
    <w:rsid w:val="00F834FB"/>
    <w:rsid w:val="00F9257D"/>
    <w:rsid w:val="00FB3EEC"/>
    <w:rsid w:val="00FD2258"/>
    <w:rsid w:val="01520363"/>
    <w:rsid w:val="01C963F3"/>
    <w:rsid w:val="01DE1C5C"/>
    <w:rsid w:val="02203B3A"/>
    <w:rsid w:val="02B86B51"/>
    <w:rsid w:val="03304250"/>
    <w:rsid w:val="0374238F"/>
    <w:rsid w:val="03A5079A"/>
    <w:rsid w:val="03C50E3C"/>
    <w:rsid w:val="03C527A5"/>
    <w:rsid w:val="048748A1"/>
    <w:rsid w:val="04CC1D57"/>
    <w:rsid w:val="04DC643E"/>
    <w:rsid w:val="056106F1"/>
    <w:rsid w:val="05A0746B"/>
    <w:rsid w:val="05AE130F"/>
    <w:rsid w:val="05FB3670"/>
    <w:rsid w:val="06112117"/>
    <w:rsid w:val="062077BC"/>
    <w:rsid w:val="065F10D4"/>
    <w:rsid w:val="06C13B3D"/>
    <w:rsid w:val="0730481F"/>
    <w:rsid w:val="076E5F7E"/>
    <w:rsid w:val="07B471FE"/>
    <w:rsid w:val="07C05BA3"/>
    <w:rsid w:val="07E3246F"/>
    <w:rsid w:val="07F7358F"/>
    <w:rsid w:val="08564759"/>
    <w:rsid w:val="08BA0844"/>
    <w:rsid w:val="091A7E4E"/>
    <w:rsid w:val="09931095"/>
    <w:rsid w:val="09F00295"/>
    <w:rsid w:val="0A4B20AA"/>
    <w:rsid w:val="0AEE6ECB"/>
    <w:rsid w:val="0AFF2E86"/>
    <w:rsid w:val="0B664CB3"/>
    <w:rsid w:val="0C0E77A3"/>
    <w:rsid w:val="0C2B45A8"/>
    <w:rsid w:val="0C580AA0"/>
    <w:rsid w:val="0C8E44C1"/>
    <w:rsid w:val="0CDE6ACB"/>
    <w:rsid w:val="0CE82491"/>
    <w:rsid w:val="0CF56428"/>
    <w:rsid w:val="0D525F6F"/>
    <w:rsid w:val="0D731909"/>
    <w:rsid w:val="0DA11FD2"/>
    <w:rsid w:val="0E470192"/>
    <w:rsid w:val="0E5352AC"/>
    <w:rsid w:val="0E792F4F"/>
    <w:rsid w:val="0EC8358F"/>
    <w:rsid w:val="0F543075"/>
    <w:rsid w:val="0FEE51C5"/>
    <w:rsid w:val="0FEF171B"/>
    <w:rsid w:val="0FF00FEF"/>
    <w:rsid w:val="0FF705D0"/>
    <w:rsid w:val="102313C5"/>
    <w:rsid w:val="103C5A23"/>
    <w:rsid w:val="10523A58"/>
    <w:rsid w:val="10667503"/>
    <w:rsid w:val="108035FE"/>
    <w:rsid w:val="108F6A5A"/>
    <w:rsid w:val="10B85FB1"/>
    <w:rsid w:val="10BB15FD"/>
    <w:rsid w:val="10D34B99"/>
    <w:rsid w:val="10F92D29"/>
    <w:rsid w:val="111156C1"/>
    <w:rsid w:val="11156EC7"/>
    <w:rsid w:val="111B6540"/>
    <w:rsid w:val="11407D54"/>
    <w:rsid w:val="123F1DBA"/>
    <w:rsid w:val="12CF1390"/>
    <w:rsid w:val="12DB7D35"/>
    <w:rsid w:val="12E60488"/>
    <w:rsid w:val="13001868"/>
    <w:rsid w:val="132A2A6A"/>
    <w:rsid w:val="13CB5FFB"/>
    <w:rsid w:val="145D3907"/>
    <w:rsid w:val="148A7C64"/>
    <w:rsid w:val="14B4083D"/>
    <w:rsid w:val="156C2EC6"/>
    <w:rsid w:val="15C56B00"/>
    <w:rsid w:val="16132CB9"/>
    <w:rsid w:val="16B20DAC"/>
    <w:rsid w:val="16B25250"/>
    <w:rsid w:val="16B8213B"/>
    <w:rsid w:val="16D2144F"/>
    <w:rsid w:val="17836BED"/>
    <w:rsid w:val="178C5AA1"/>
    <w:rsid w:val="17AD77C6"/>
    <w:rsid w:val="17CA65CA"/>
    <w:rsid w:val="180933FC"/>
    <w:rsid w:val="183879D7"/>
    <w:rsid w:val="185C6006"/>
    <w:rsid w:val="18616F2E"/>
    <w:rsid w:val="191221DB"/>
    <w:rsid w:val="19235F91"/>
    <w:rsid w:val="195A5B9A"/>
    <w:rsid w:val="19662322"/>
    <w:rsid w:val="19800B64"/>
    <w:rsid w:val="19836A30"/>
    <w:rsid w:val="199944A6"/>
    <w:rsid w:val="19FD4A34"/>
    <w:rsid w:val="1A116732"/>
    <w:rsid w:val="1A533F79"/>
    <w:rsid w:val="1A5A1E87"/>
    <w:rsid w:val="1B2F179A"/>
    <w:rsid w:val="1B6F3710"/>
    <w:rsid w:val="1C250273"/>
    <w:rsid w:val="1D01483C"/>
    <w:rsid w:val="1D5D57EA"/>
    <w:rsid w:val="1E171E3D"/>
    <w:rsid w:val="1EBA2EF4"/>
    <w:rsid w:val="1EC41FC5"/>
    <w:rsid w:val="1EFE3E02"/>
    <w:rsid w:val="1F637F9A"/>
    <w:rsid w:val="1F78690B"/>
    <w:rsid w:val="1F8359DC"/>
    <w:rsid w:val="1F83778A"/>
    <w:rsid w:val="1FA40E26"/>
    <w:rsid w:val="1FCA360B"/>
    <w:rsid w:val="20085EE1"/>
    <w:rsid w:val="20181E55"/>
    <w:rsid w:val="20200F8C"/>
    <w:rsid w:val="204B20BB"/>
    <w:rsid w:val="204F1D62"/>
    <w:rsid w:val="205C7FDB"/>
    <w:rsid w:val="20B4309F"/>
    <w:rsid w:val="20CA763A"/>
    <w:rsid w:val="21294361"/>
    <w:rsid w:val="212D20A3"/>
    <w:rsid w:val="21661758"/>
    <w:rsid w:val="227635D6"/>
    <w:rsid w:val="22BA5BB9"/>
    <w:rsid w:val="230D784D"/>
    <w:rsid w:val="23B95F13"/>
    <w:rsid w:val="24174945"/>
    <w:rsid w:val="24212C83"/>
    <w:rsid w:val="244020ED"/>
    <w:rsid w:val="24736B98"/>
    <w:rsid w:val="248B32E5"/>
    <w:rsid w:val="24B17D3C"/>
    <w:rsid w:val="24EE1B49"/>
    <w:rsid w:val="250550E5"/>
    <w:rsid w:val="25867FD4"/>
    <w:rsid w:val="259C77F7"/>
    <w:rsid w:val="262A3A04"/>
    <w:rsid w:val="266D4CF0"/>
    <w:rsid w:val="269C7383"/>
    <w:rsid w:val="26B66697"/>
    <w:rsid w:val="273D46C2"/>
    <w:rsid w:val="27435A51"/>
    <w:rsid w:val="27466F3A"/>
    <w:rsid w:val="27677991"/>
    <w:rsid w:val="276F4A98"/>
    <w:rsid w:val="27772410"/>
    <w:rsid w:val="27B03C86"/>
    <w:rsid w:val="283B6E9A"/>
    <w:rsid w:val="28414686"/>
    <w:rsid w:val="286E4D4F"/>
    <w:rsid w:val="287C746C"/>
    <w:rsid w:val="288D3427"/>
    <w:rsid w:val="28C3509B"/>
    <w:rsid w:val="28D44D60"/>
    <w:rsid w:val="29B5485E"/>
    <w:rsid w:val="29F55569"/>
    <w:rsid w:val="2A6D1762"/>
    <w:rsid w:val="2A9C2048"/>
    <w:rsid w:val="2AF37C49"/>
    <w:rsid w:val="2B3E5E22"/>
    <w:rsid w:val="2C1A3224"/>
    <w:rsid w:val="2C5F332D"/>
    <w:rsid w:val="2CDC497D"/>
    <w:rsid w:val="2D1427F8"/>
    <w:rsid w:val="2DA03BFD"/>
    <w:rsid w:val="2DA336ED"/>
    <w:rsid w:val="2DD45655"/>
    <w:rsid w:val="2E7221A8"/>
    <w:rsid w:val="2EC67693"/>
    <w:rsid w:val="2EE30245"/>
    <w:rsid w:val="2F087CAC"/>
    <w:rsid w:val="2F0E4B96"/>
    <w:rsid w:val="2F1A353B"/>
    <w:rsid w:val="2F1F6DA3"/>
    <w:rsid w:val="2F397E65"/>
    <w:rsid w:val="2F620882"/>
    <w:rsid w:val="2F633134"/>
    <w:rsid w:val="2F882B9B"/>
    <w:rsid w:val="2FA86D99"/>
    <w:rsid w:val="308B46F0"/>
    <w:rsid w:val="312F3756"/>
    <w:rsid w:val="31496359"/>
    <w:rsid w:val="315E0057"/>
    <w:rsid w:val="318D4498"/>
    <w:rsid w:val="3199108F"/>
    <w:rsid w:val="319F16AA"/>
    <w:rsid w:val="31CC4FC0"/>
    <w:rsid w:val="31F167D5"/>
    <w:rsid w:val="3216448E"/>
    <w:rsid w:val="321D581C"/>
    <w:rsid w:val="323963CE"/>
    <w:rsid w:val="3273368E"/>
    <w:rsid w:val="32963820"/>
    <w:rsid w:val="32E20814"/>
    <w:rsid w:val="337771AE"/>
    <w:rsid w:val="33802506"/>
    <w:rsid w:val="33F94067"/>
    <w:rsid w:val="34480B4A"/>
    <w:rsid w:val="34821AD6"/>
    <w:rsid w:val="35A52FD0"/>
    <w:rsid w:val="35D501BC"/>
    <w:rsid w:val="36407D2B"/>
    <w:rsid w:val="36BE3BE8"/>
    <w:rsid w:val="36DA26A7"/>
    <w:rsid w:val="36DB5CA6"/>
    <w:rsid w:val="37227431"/>
    <w:rsid w:val="3756532C"/>
    <w:rsid w:val="37B01725"/>
    <w:rsid w:val="38061044"/>
    <w:rsid w:val="381C3783"/>
    <w:rsid w:val="389E342F"/>
    <w:rsid w:val="38C5276A"/>
    <w:rsid w:val="39783C80"/>
    <w:rsid w:val="399551B1"/>
    <w:rsid w:val="39D619B3"/>
    <w:rsid w:val="3A445910"/>
    <w:rsid w:val="3A557B1D"/>
    <w:rsid w:val="3A726921"/>
    <w:rsid w:val="3A765FE2"/>
    <w:rsid w:val="3B653D90"/>
    <w:rsid w:val="3B7D732B"/>
    <w:rsid w:val="3BAE3989"/>
    <w:rsid w:val="3BCC3E0F"/>
    <w:rsid w:val="3BD66A3C"/>
    <w:rsid w:val="3C424796"/>
    <w:rsid w:val="3CC044ED"/>
    <w:rsid w:val="3CC25530"/>
    <w:rsid w:val="3CC52D38"/>
    <w:rsid w:val="3CD13DD3"/>
    <w:rsid w:val="3D0715A3"/>
    <w:rsid w:val="3DA212CB"/>
    <w:rsid w:val="3DBB238D"/>
    <w:rsid w:val="3DBD6105"/>
    <w:rsid w:val="3E4405D4"/>
    <w:rsid w:val="3E9C5D1B"/>
    <w:rsid w:val="3F375A43"/>
    <w:rsid w:val="3FA4757D"/>
    <w:rsid w:val="3FB6105E"/>
    <w:rsid w:val="3FE444E6"/>
    <w:rsid w:val="40583EC3"/>
    <w:rsid w:val="40642868"/>
    <w:rsid w:val="407A652F"/>
    <w:rsid w:val="40923879"/>
    <w:rsid w:val="410F592B"/>
    <w:rsid w:val="411424E0"/>
    <w:rsid w:val="41322966"/>
    <w:rsid w:val="41641264"/>
    <w:rsid w:val="41700BEB"/>
    <w:rsid w:val="426C3C56"/>
    <w:rsid w:val="42786A9F"/>
    <w:rsid w:val="42BC1743"/>
    <w:rsid w:val="42EE53FF"/>
    <w:rsid w:val="433429C6"/>
    <w:rsid w:val="43E4263E"/>
    <w:rsid w:val="45554E75"/>
    <w:rsid w:val="459D60E3"/>
    <w:rsid w:val="45B70627"/>
    <w:rsid w:val="45CA5863"/>
    <w:rsid w:val="45E5444B"/>
    <w:rsid w:val="46362EF9"/>
    <w:rsid w:val="465515D1"/>
    <w:rsid w:val="468E4AE3"/>
    <w:rsid w:val="46911B59"/>
    <w:rsid w:val="46F54E2D"/>
    <w:rsid w:val="46FD57C4"/>
    <w:rsid w:val="47925F0D"/>
    <w:rsid w:val="47A143DA"/>
    <w:rsid w:val="47E81E53"/>
    <w:rsid w:val="47E81FD1"/>
    <w:rsid w:val="48A028AB"/>
    <w:rsid w:val="48B545A9"/>
    <w:rsid w:val="495C0DBE"/>
    <w:rsid w:val="49CB1BAA"/>
    <w:rsid w:val="4A070E34"/>
    <w:rsid w:val="4A4F4589"/>
    <w:rsid w:val="4AB60164"/>
    <w:rsid w:val="4B8E06C7"/>
    <w:rsid w:val="4C934BC0"/>
    <w:rsid w:val="4CFB09F8"/>
    <w:rsid w:val="4D057181"/>
    <w:rsid w:val="4D447CA9"/>
    <w:rsid w:val="4D5123C6"/>
    <w:rsid w:val="4D697710"/>
    <w:rsid w:val="4D6B792C"/>
    <w:rsid w:val="4DA16EA9"/>
    <w:rsid w:val="4DDA060D"/>
    <w:rsid w:val="4DED1912"/>
    <w:rsid w:val="4E257ADB"/>
    <w:rsid w:val="4E353A96"/>
    <w:rsid w:val="4EAD187E"/>
    <w:rsid w:val="4EB175C0"/>
    <w:rsid w:val="4EB62E28"/>
    <w:rsid w:val="4F0911AA"/>
    <w:rsid w:val="4F78309C"/>
    <w:rsid w:val="4F7E394E"/>
    <w:rsid w:val="4FD03A76"/>
    <w:rsid w:val="50A20D13"/>
    <w:rsid w:val="50AD3DB7"/>
    <w:rsid w:val="50AF7B2F"/>
    <w:rsid w:val="50B02F71"/>
    <w:rsid w:val="50C26CF2"/>
    <w:rsid w:val="50E0022B"/>
    <w:rsid w:val="50EC0D83"/>
    <w:rsid w:val="50FE0CB7"/>
    <w:rsid w:val="512D188F"/>
    <w:rsid w:val="51363DAD"/>
    <w:rsid w:val="513B5867"/>
    <w:rsid w:val="5144673C"/>
    <w:rsid w:val="519D207E"/>
    <w:rsid w:val="51EC090F"/>
    <w:rsid w:val="51FB00AC"/>
    <w:rsid w:val="52E57838"/>
    <w:rsid w:val="542B3971"/>
    <w:rsid w:val="54335EE7"/>
    <w:rsid w:val="5463310B"/>
    <w:rsid w:val="54AF45A2"/>
    <w:rsid w:val="54C142D5"/>
    <w:rsid w:val="55254864"/>
    <w:rsid w:val="553C395C"/>
    <w:rsid w:val="55AF2110"/>
    <w:rsid w:val="55BA1450"/>
    <w:rsid w:val="56037691"/>
    <w:rsid w:val="56083D8A"/>
    <w:rsid w:val="56135E24"/>
    <w:rsid w:val="564017AC"/>
    <w:rsid w:val="567B0721"/>
    <w:rsid w:val="56F97D56"/>
    <w:rsid w:val="57081D47"/>
    <w:rsid w:val="57E97DCB"/>
    <w:rsid w:val="57EF1159"/>
    <w:rsid w:val="583059FA"/>
    <w:rsid w:val="5847689F"/>
    <w:rsid w:val="58532B2C"/>
    <w:rsid w:val="58984204"/>
    <w:rsid w:val="58C47EF0"/>
    <w:rsid w:val="59285798"/>
    <w:rsid w:val="596F60AE"/>
    <w:rsid w:val="5A2A0227"/>
    <w:rsid w:val="5A3317D1"/>
    <w:rsid w:val="5A7B0A82"/>
    <w:rsid w:val="5AA61FA3"/>
    <w:rsid w:val="5AD43DA8"/>
    <w:rsid w:val="5B0311A3"/>
    <w:rsid w:val="5B192765"/>
    <w:rsid w:val="5BB5218E"/>
    <w:rsid w:val="5BFE5E0F"/>
    <w:rsid w:val="5CAA564F"/>
    <w:rsid w:val="5E361890"/>
    <w:rsid w:val="5EDA046D"/>
    <w:rsid w:val="5EE237C6"/>
    <w:rsid w:val="5EFF7ED4"/>
    <w:rsid w:val="5F7679C4"/>
    <w:rsid w:val="5F7F1015"/>
    <w:rsid w:val="5F7F2DC3"/>
    <w:rsid w:val="5FBF1411"/>
    <w:rsid w:val="601A09BC"/>
    <w:rsid w:val="60395667"/>
    <w:rsid w:val="60AA0313"/>
    <w:rsid w:val="610D33E8"/>
    <w:rsid w:val="6115634F"/>
    <w:rsid w:val="61371BA7"/>
    <w:rsid w:val="615E35D8"/>
    <w:rsid w:val="619568CD"/>
    <w:rsid w:val="61E67129"/>
    <w:rsid w:val="61F41846"/>
    <w:rsid w:val="621A5025"/>
    <w:rsid w:val="62CC27C3"/>
    <w:rsid w:val="635A7DCF"/>
    <w:rsid w:val="637D586B"/>
    <w:rsid w:val="63872EA4"/>
    <w:rsid w:val="63E35A8D"/>
    <w:rsid w:val="63F26259"/>
    <w:rsid w:val="64061D04"/>
    <w:rsid w:val="640A365A"/>
    <w:rsid w:val="640E2967"/>
    <w:rsid w:val="64754794"/>
    <w:rsid w:val="64FD7B2B"/>
    <w:rsid w:val="657B402C"/>
    <w:rsid w:val="65C07C91"/>
    <w:rsid w:val="66CA526B"/>
    <w:rsid w:val="67C12792"/>
    <w:rsid w:val="67DD0FCE"/>
    <w:rsid w:val="687436E1"/>
    <w:rsid w:val="687A681D"/>
    <w:rsid w:val="68D73C6F"/>
    <w:rsid w:val="690B56C7"/>
    <w:rsid w:val="696A4D66"/>
    <w:rsid w:val="69867965"/>
    <w:rsid w:val="699456BD"/>
    <w:rsid w:val="6A4E3ABD"/>
    <w:rsid w:val="6A9A31A7"/>
    <w:rsid w:val="6AD06BC8"/>
    <w:rsid w:val="6B3929BF"/>
    <w:rsid w:val="6B3D425E"/>
    <w:rsid w:val="6B431148"/>
    <w:rsid w:val="6B56531F"/>
    <w:rsid w:val="6B575C91"/>
    <w:rsid w:val="6BB8040C"/>
    <w:rsid w:val="6C1D5E3D"/>
    <w:rsid w:val="6C5C6966"/>
    <w:rsid w:val="6C6E5E1A"/>
    <w:rsid w:val="6C8E2897"/>
    <w:rsid w:val="6CDF30F3"/>
    <w:rsid w:val="6D282CEC"/>
    <w:rsid w:val="6D921E65"/>
    <w:rsid w:val="6DF606F4"/>
    <w:rsid w:val="6E267136"/>
    <w:rsid w:val="6E2D67FA"/>
    <w:rsid w:val="6E4476B1"/>
    <w:rsid w:val="6E6E0BD2"/>
    <w:rsid w:val="6E91041D"/>
    <w:rsid w:val="6ECB392F"/>
    <w:rsid w:val="6F562B93"/>
    <w:rsid w:val="6FA348AB"/>
    <w:rsid w:val="6FBB39A3"/>
    <w:rsid w:val="6FD23894"/>
    <w:rsid w:val="6FE23626"/>
    <w:rsid w:val="70383246"/>
    <w:rsid w:val="703D260A"/>
    <w:rsid w:val="7060279C"/>
    <w:rsid w:val="70626FA0"/>
    <w:rsid w:val="70756EB2"/>
    <w:rsid w:val="71E73078"/>
    <w:rsid w:val="7258197D"/>
    <w:rsid w:val="72C60FDD"/>
    <w:rsid w:val="72EB27F1"/>
    <w:rsid w:val="730241B0"/>
    <w:rsid w:val="731A1328"/>
    <w:rsid w:val="73577E87"/>
    <w:rsid w:val="73587D13"/>
    <w:rsid w:val="73B742FA"/>
    <w:rsid w:val="743B50B2"/>
    <w:rsid w:val="74BF5CE3"/>
    <w:rsid w:val="74EF59B8"/>
    <w:rsid w:val="750977D2"/>
    <w:rsid w:val="75263FB5"/>
    <w:rsid w:val="75693EA1"/>
    <w:rsid w:val="75B25848"/>
    <w:rsid w:val="766528BB"/>
    <w:rsid w:val="768F268A"/>
    <w:rsid w:val="76C92E49"/>
    <w:rsid w:val="772611CE"/>
    <w:rsid w:val="77617526"/>
    <w:rsid w:val="777A05E8"/>
    <w:rsid w:val="77991905"/>
    <w:rsid w:val="781A1483"/>
    <w:rsid w:val="781F0851"/>
    <w:rsid w:val="7820118F"/>
    <w:rsid w:val="782A7918"/>
    <w:rsid w:val="78B00E0E"/>
    <w:rsid w:val="78C94F9D"/>
    <w:rsid w:val="78FD502C"/>
    <w:rsid w:val="796450AB"/>
    <w:rsid w:val="79EB30D7"/>
    <w:rsid w:val="7A293F0A"/>
    <w:rsid w:val="7A5E24AA"/>
    <w:rsid w:val="7ACB4CB6"/>
    <w:rsid w:val="7B02692A"/>
    <w:rsid w:val="7B32428B"/>
    <w:rsid w:val="7B486307"/>
    <w:rsid w:val="7B5B603A"/>
    <w:rsid w:val="7B5C744A"/>
    <w:rsid w:val="7BA55C3B"/>
    <w:rsid w:val="7BD858DD"/>
    <w:rsid w:val="7BE9361F"/>
    <w:rsid w:val="7C6B49A3"/>
    <w:rsid w:val="7C765821"/>
    <w:rsid w:val="7C856E44"/>
    <w:rsid w:val="7CD24A22"/>
    <w:rsid w:val="7D366D5F"/>
    <w:rsid w:val="7DD722F0"/>
    <w:rsid w:val="7E32210A"/>
    <w:rsid w:val="7EB10D93"/>
    <w:rsid w:val="7EC87E8B"/>
    <w:rsid w:val="7EF70770"/>
    <w:rsid w:val="7F052E8D"/>
    <w:rsid w:val="7F270942"/>
    <w:rsid w:val="7F413799"/>
    <w:rsid w:val="7F480FCB"/>
    <w:rsid w:val="7F5D6825"/>
    <w:rsid w:val="7F671451"/>
    <w:rsid w:val="7F674918"/>
    <w:rsid w:val="7F6E0F84"/>
    <w:rsid w:val="7FB83A5B"/>
    <w:rsid w:val="7FBA3C77"/>
    <w:rsid w:val="7FEC7BA9"/>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31"/>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2">
    <w:name w:val="heading 2"/>
    <w:basedOn w:val="1"/>
    <w:next w:val="1"/>
    <w:link w:val="25"/>
    <w:autoRedefine/>
    <w:unhideWhenUsed/>
    <w:qFormat/>
    <w:uiPriority w:val="9"/>
    <w:pPr>
      <w:keepNext/>
      <w:keepLines/>
      <w:widowControl/>
      <w:adjustRightInd w:val="0"/>
      <w:snapToGrid w:val="0"/>
      <w:spacing w:line="360" w:lineRule="auto"/>
      <w:jc w:val="left"/>
      <w:outlineLvl w:val="1"/>
    </w:pPr>
    <w:rPr>
      <w:rFonts w:ascii="宋体" w:hAnsi="宋体" w:eastAsia="宋体" w:cs="宋体"/>
      <w:b/>
      <w:bCs/>
      <w:kern w:val="0"/>
      <w:sz w:val="28"/>
      <w:szCs w:val="28"/>
    </w:rPr>
  </w:style>
  <w:style w:type="paragraph" w:styleId="4">
    <w:name w:val="heading 3"/>
    <w:basedOn w:val="1"/>
    <w:next w:val="1"/>
    <w:link w:val="26"/>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7"/>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7"/>
    <w:basedOn w:val="1"/>
    <w:next w:val="1"/>
    <w:unhideWhenUsed/>
    <w:qFormat/>
    <w:uiPriority w:val="0"/>
    <w:pPr>
      <w:keepNext/>
      <w:keepLines/>
      <w:spacing w:before="260" w:after="120" w:line="320" w:lineRule="auto"/>
      <w:outlineLvl w:val="6"/>
    </w:pPr>
    <w:rPr>
      <w:rFonts w:ascii="Times New Roman" w:hAnsi="Times New Roman" w:eastAsia="楷体" w:cstheme="minorBidi"/>
      <w:b/>
      <w:bCs/>
      <w:sz w:val="24"/>
      <w:szCs w:val="24"/>
    </w:rPr>
  </w:style>
  <w:style w:type="character" w:default="1" w:styleId="19">
    <w:name w:val="Default Paragraph Font"/>
    <w:autoRedefine/>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7">
    <w:name w:val="Body Text"/>
    <w:basedOn w:val="1"/>
    <w:autoRedefine/>
    <w:qFormat/>
    <w:uiPriority w:val="0"/>
    <w:pPr>
      <w:spacing w:after="120" w:afterLines="0" w:afterAutospacing="0"/>
    </w:pPr>
  </w:style>
  <w:style w:type="paragraph" w:styleId="8">
    <w:name w:val="Body Text Indent"/>
    <w:basedOn w:val="1"/>
    <w:next w:val="9"/>
    <w:qFormat/>
    <w:uiPriority w:val="0"/>
    <w:pPr>
      <w:spacing w:after="120" w:afterLines="0" w:afterAutospacing="0"/>
      <w:ind w:left="420" w:leftChars="200"/>
    </w:pPr>
  </w:style>
  <w:style w:type="paragraph" w:customStyle="1" w:styleId="9">
    <w:name w:val="样式 正文文本缩进 + 行距: 1.5 倍行距"/>
    <w:basedOn w:val="1"/>
    <w:qFormat/>
    <w:uiPriority w:val="0"/>
    <w:pPr>
      <w:spacing w:after="120"/>
      <w:ind w:left="90" w:leftChars="32" w:firstLine="560"/>
    </w:pPr>
    <w:rPr>
      <w:rFonts w:cs="宋体"/>
    </w:rPr>
  </w:style>
  <w:style w:type="paragraph" w:styleId="10">
    <w:name w:val="footer"/>
    <w:basedOn w:val="1"/>
    <w:link w:val="30"/>
    <w:autoRedefine/>
    <w:unhideWhenUsed/>
    <w:qFormat/>
    <w:uiPriority w:val="99"/>
    <w:pPr>
      <w:tabs>
        <w:tab w:val="center" w:pos="4153"/>
        <w:tab w:val="right" w:pos="8306"/>
      </w:tabs>
      <w:snapToGrid w:val="0"/>
      <w:jc w:val="left"/>
    </w:pPr>
    <w:rPr>
      <w:sz w:val="18"/>
      <w:szCs w:val="18"/>
    </w:rPr>
  </w:style>
  <w:style w:type="paragraph" w:styleId="11">
    <w:name w:val="header"/>
    <w:basedOn w:val="1"/>
    <w:link w:val="2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link w:val="32"/>
    <w:autoRedefine/>
    <w:qFormat/>
    <w:uiPriority w:val="0"/>
    <w:pPr>
      <w:spacing w:line="400" w:lineRule="exact"/>
      <w:jc w:val="center"/>
    </w:pPr>
    <w:rPr>
      <w:rFonts w:ascii="Calibri" w:hAnsi="Calibri" w:eastAsia="楷体" w:cs="Times New Roman"/>
      <w:b/>
      <w:bCs/>
      <w:kern w:val="28"/>
      <w:szCs w:val="32"/>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5"/>
    <w:link w:val="28"/>
    <w:qFormat/>
    <w:uiPriority w:val="10"/>
    <w:pPr>
      <w:adjustRightInd w:val="0"/>
      <w:snapToGrid w:val="0"/>
      <w:spacing w:before="0" w:after="0" w:line="360" w:lineRule="auto"/>
      <w:jc w:val="center"/>
    </w:pPr>
    <w:rPr>
      <w:rFonts w:ascii="黑体" w:hAnsi="黑体" w:eastAsia="黑体" w:cs="黑体"/>
      <w:sz w:val="24"/>
      <w:szCs w:val="24"/>
    </w:rPr>
  </w:style>
  <w:style w:type="paragraph" w:styleId="15">
    <w:name w:val="Body Text First Indent"/>
    <w:basedOn w:val="7"/>
    <w:autoRedefine/>
    <w:qFormat/>
    <w:uiPriority w:val="0"/>
    <w:pPr>
      <w:ind w:firstLine="420" w:firstLineChars="100"/>
    </w:pPr>
  </w:style>
  <w:style w:type="paragraph" w:styleId="16">
    <w:name w:val="Body Text First Indent 2"/>
    <w:basedOn w:val="8"/>
    <w:next w:val="1"/>
    <w:qFormat/>
    <w:uiPriority w:val="0"/>
    <w:pPr>
      <w:ind w:firstLine="420" w:firstLineChars="200"/>
    </w:pPr>
  </w:style>
  <w:style w:type="table" w:styleId="18">
    <w:name w:val="Table Grid"/>
    <w:basedOn w:val="17"/>
    <w:autoRedefine/>
    <w:qFormat/>
    <w:uiPriority w:val="59"/>
    <w:rPr>
      <w:rFonts w:ascii="Calibri" w:hAnsi="Calibri" w:eastAsia="微软雅黑"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0">
    <w:name w:val="Strong"/>
    <w:basedOn w:val="19"/>
    <w:qFormat/>
    <w:uiPriority w:val="0"/>
    <w:rPr>
      <w:b/>
    </w:rPr>
  </w:style>
  <w:style w:type="character" w:styleId="21">
    <w:name w:val="Emphasis"/>
    <w:basedOn w:val="19"/>
    <w:qFormat/>
    <w:uiPriority w:val="0"/>
    <w:rPr>
      <w:i/>
    </w:rPr>
  </w:style>
  <w:style w:type="character" w:styleId="22">
    <w:name w:val="Hyperlink"/>
    <w:basedOn w:val="19"/>
    <w:qFormat/>
    <w:uiPriority w:val="0"/>
    <w:rPr>
      <w:color w:val="0000FF"/>
      <w:u w:val="single"/>
    </w:rPr>
  </w:style>
  <w:style w:type="paragraph" w:customStyle="1" w:styleId="23">
    <w:name w:val="0正文"/>
    <w:basedOn w:val="1"/>
    <w:qFormat/>
    <w:uiPriority w:val="0"/>
    <w:pPr>
      <w:ind w:firstLine="480" w:firstLineChars="200"/>
    </w:pPr>
  </w:style>
  <w:style w:type="character" w:customStyle="1" w:styleId="24">
    <w:name w:val="标题 2 字符"/>
    <w:basedOn w:val="19"/>
    <w:autoRedefine/>
    <w:semiHidden/>
    <w:qFormat/>
    <w:uiPriority w:val="9"/>
    <w:rPr>
      <w:rFonts w:asciiTheme="majorHAnsi" w:hAnsiTheme="majorHAnsi" w:eastAsiaTheme="majorEastAsia" w:cstheme="majorBidi"/>
      <w:b/>
      <w:bCs/>
      <w:sz w:val="32"/>
      <w:szCs w:val="32"/>
    </w:rPr>
  </w:style>
  <w:style w:type="character" w:customStyle="1" w:styleId="25">
    <w:name w:val="标题 2 字符1"/>
    <w:link w:val="2"/>
    <w:autoRedefine/>
    <w:qFormat/>
    <w:uiPriority w:val="9"/>
    <w:rPr>
      <w:rFonts w:ascii="宋体" w:hAnsi="宋体" w:eastAsia="宋体" w:cs="宋体"/>
      <w:b/>
      <w:bCs/>
      <w:kern w:val="0"/>
      <w:sz w:val="28"/>
      <w:szCs w:val="28"/>
    </w:rPr>
  </w:style>
  <w:style w:type="character" w:customStyle="1" w:styleId="26">
    <w:name w:val="标题 3 字符"/>
    <w:basedOn w:val="19"/>
    <w:link w:val="4"/>
    <w:autoRedefine/>
    <w:semiHidden/>
    <w:qFormat/>
    <w:uiPriority w:val="9"/>
    <w:rPr>
      <w:b/>
      <w:bCs/>
      <w:sz w:val="32"/>
      <w:szCs w:val="32"/>
    </w:rPr>
  </w:style>
  <w:style w:type="character" w:customStyle="1" w:styleId="27">
    <w:name w:val="标题 4 字符"/>
    <w:basedOn w:val="19"/>
    <w:link w:val="5"/>
    <w:autoRedefine/>
    <w:semiHidden/>
    <w:qFormat/>
    <w:uiPriority w:val="9"/>
    <w:rPr>
      <w:rFonts w:asciiTheme="majorHAnsi" w:hAnsiTheme="majorHAnsi" w:eastAsiaTheme="majorEastAsia" w:cstheme="majorBidi"/>
      <w:b/>
      <w:bCs/>
      <w:sz w:val="28"/>
      <w:szCs w:val="28"/>
    </w:rPr>
  </w:style>
  <w:style w:type="character" w:customStyle="1" w:styleId="28">
    <w:name w:val="标题 字符"/>
    <w:basedOn w:val="19"/>
    <w:link w:val="14"/>
    <w:autoRedefine/>
    <w:qFormat/>
    <w:uiPriority w:val="10"/>
    <w:rPr>
      <w:rFonts w:ascii="黑体" w:hAnsi="黑体" w:eastAsia="黑体" w:cs="黑体"/>
      <w:b/>
      <w:bCs/>
      <w:sz w:val="24"/>
      <w:szCs w:val="24"/>
    </w:rPr>
  </w:style>
  <w:style w:type="character" w:customStyle="1" w:styleId="29">
    <w:name w:val="页眉 字符"/>
    <w:basedOn w:val="19"/>
    <w:link w:val="11"/>
    <w:autoRedefine/>
    <w:qFormat/>
    <w:uiPriority w:val="99"/>
    <w:rPr>
      <w:sz w:val="18"/>
      <w:szCs w:val="18"/>
    </w:rPr>
  </w:style>
  <w:style w:type="character" w:customStyle="1" w:styleId="30">
    <w:name w:val="页脚 字符"/>
    <w:basedOn w:val="19"/>
    <w:link w:val="10"/>
    <w:autoRedefine/>
    <w:qFormat/>
    <w:uiPriority w:val="99"/>
    <w:rPr>
      <w:sz w:val="18"/>
      <w:szCs w:val="18"/>
    </w:rPr>
  </w:style>
  <w:style w:type="character" w:customStyle="1" w:styleId="31">
    <w:name w:val="标题 1 字符"/>
    <w:basedOn w:val="19"/>
    <w:link w:val="3"/>
    <w:autoRedefine/>
    <w:qFormat/>
    <w:uiPriority w:val="0"/>
    <w:rPr>
      <w:rFonts w:ascii="Calibri" w:hAnsi="Calibri" w:eastAsia="宋体" w:cs="Times New Roman"/>
      <w:b/>
      <w:bCs/>
      <w:kern w:val="44"/>
      <w:sz w:val="44"/>
      <w:szCs w:val="44"/>
    </w:rPr>
  </w:style>
  <w:style w:type="character" w:customStyle="1" w:styleId="32">
    <w:name w:val="副标题 字符"/>
    <w:basedOn w:val="19"/>
    <w:link w:val="12"/>
    <w:autoRedefine/>
    <w:qFormat/>
    <w:uiPriority w:val="0"/>
    <w:rPr>
      <w:rFonts w:ascii="Calibri" w:hAnsi="Calibri" w:eastAsia="楷体" w:cs="Times New Roman"/>
      <w:b/>
      <w:bCs/>
      <w:kern w:val="28"/>
      <w:szCs w:val="32"/>
    </w:rPr>
  </w:style>
  <w:style w:type="paragraph" w:styleId="33">
    <w:name w:val="List Paragraph"/>
    <w:basedOn w:val="1"/>
    <w:autoRedefine/>
    <w:qFormat/>
    <w:uiPriority w:val="34"/>
    <w:pPr>
      <w:ind w:firstLine="420" w:firstLineChars="200"/>
    </w:pPr>
  </w:style>
  <w:style w:type="paragraph" w:customStyle="1" w:styleId="34">
    <w:name w:val="普通(网站)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5">
    <w:name w:val="普通(网站) Char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6">
    <w:name w:val="+正文"/>
    <w:basedOn w:val="1"/>
    <w:qFormat/>
    <w:uiPriority w:val="99"/>
    <w:pPr>
      <w:spacing w:line="360" w:lineRule="auto"/>
      <w:ind w:firstLine="200" w:firstLineChars="200"/>
    </w:pPr>
    <w:rPr>
      <w:rFonts w:ascii="Times New Roman" w:hAnsi="Times New Roman" w:cs="Times New Roman"/>
      <w:sz w:val="24"/>
      <w:szCs w:val="24"/>
    </w:rPr>
  </w:style>
  <w:style w:type="paragraph" w:customStyle="1" w:styleId="37">
    <w:name w:val="表格内容"/>
    <w:basedOn w:val="1"/>
    <w:qFormat/>
    <w:uiPriority w:val="99"/>
    <w:pPr>
      <w:widowControl/>
      <w:overflowPunct w:val="0"/>
      <w:autoSpaceDE w:val="0"/>
      <w:autoSpaceDN w:val="0"/>
      <w:adjustRightInd w:val="0"/>
      <w:jc w:val="center"/>
      <w:textAlignment w:val="baseline"/>
    </w:pPr>
    <w:rPr>
      <w:rFonts w:ascii="Times New Roman" w:hAnsi="Times New Roman" w:cs="Times New Roman"/>
      <w:kern w:val="0"/>
    </w:rPr>
  </w:style>
  <w:style w:type="paragraph" w:customStyle="1" w:styleId="38">
    <w:name w:val="表格内容-居中"/>
    <w:basedOn w:val="1"/>
    <w:qFormat/>
    <w:uiPriority w:val="99"/>
    <w:pPr>
      <w:widowControl/>
      <w:overflowPunct w:val="0"/>
      <w:autoSpaceDE w:val="0"/>
      <w:autoSpaceDN w:val="0"/>
      <w:adjustRightInd w:val="0"/>
      <w:spacing w:before="40" w:after="40" w:line="300" w:lineRule="exact"/>
      <w:jc w:val="center"/>
      <w:textAlignment w:val="baseline"/>
    </w:pPr>
    <w:rPr>
      <w:rFonts w:ascii="Times New Roman" w:hAnsi="Times New Roman" w:cs="Times New Roman"/>
      <w:kern w:val="0"/>
      <w:sz w:val="24"/>
      <w:szCs w:val="24"/>
    </w:rPr>
  </w:style>
  <w:style w:type="character" w:customStyle="1" w:styleId="39">
    <w:name w:val="font31"/>
    <w:basedOn w:val="19"/>
    <w:qFormat/>
    <w:uiPriority w:val="0"/>
    <w:rPr>
      <w:rFonts w:hint="eastAsia" w:ascii="华文楷体" w:hAnsi="华文楷体" w:eastAsia="华文楷体" w:cs="华文楷体"/>
      <w:color w:val="000000"/>
      <w:sz w:val="22"/>
      <w:szCs w:val="22"/>
      <w:u w:val="none"/>
      <w:vertAlign w:val="subscript"/>
    </w:rPr>
  </w:style>
  <w:style w:type="character" w:customStyle="1" w:styleId="40">
    <w:name w:val="font21"/>
    <w:basedOn w:val="19"/>
    <w:qFormat/>
    <w:uiPriority w:val="0"/>
    <w:rPr>
      <w:rFonts w:hint="eastAsia" w:ascii="华文楷体" w:hAnsi="华文楷体" w:eastAsia="华文楷体" w:cs="华文楷体"/>
      <w:color w:val="000000"/>
      <w:sz w:val="22"/>
      <w:szCs w:val="22"/>
      <w:u w:val="none"/>
    </w:rPr>
  </w:style>
  <w:style w:type="character" w:customStyle="1" w:styleId="41">
    <w:name w:val="font41"/>
    <w:basedOn w:val="19"/>
    <w:qFormat/>
    <w:uiPriority w:val="0"/>
    <w:rPr>
      <w:rFonts w:hint="eastAsia" w:ascii="华文楷体" w:hAnsi="华文楷体" w:eastAsia="华文楷体" w:cs="华文楷体"/>
      <w:color w:val="000000"/>
      <w:sz w:val="22"/>
      <w:szCs w:val="22"/>
      <w:u w:val="none"/>
      <w:vertAlign w:val="superscript"/>
    </w:rPr>
  </w:style>
  <w:style w:type="character" w:customStyle="1" w:styleId="42">
    <w:name w:val="font11"/>
    <w:basedOn w:val="19"/>
    <w:qFormat/>
    <w:uiPriority w:val="0"/>
    <w:rPr>
      <w:rFonts w:hint="eastAsia" w:ascii="华文楷体" w:hAnsi="华文楷体" w:eastAsia="华文楷体" w:cs="华文楷体"/>
      <w:color w:val="000000"/>
      <w:sz w:val="22"/>
      <w:szCs w:val="22"/>
      <w:u w:val="none"/>
    </w:rPr>
  </w:style>
  <w:style w:type="paragraph" w:customStyle="1" w:styleId="43">
    <w:name w:val="EndNote Bibliography"/>
    <w:basedOn w:val="1"/>
    <w:autoRedefine/>
    <w:qFormat/>
    <w:uiPriority w:val="0"/>
    <w:pPr>
      <w:ind w:firstLine="200" w:firstLineChars="200"/>
      <w:jc w:val="left"/>
    </w:pPr>
    <w:rPr>
      <w:sz w:val="20"/>
    </w:rPr>
  </w:style>
  <w:style w:type="paragraph" w:customStyle="1" w:styleId="44">
    <w:name w:val="列出段落1"/>
    <w:basedOn w:val="1"/>
    <w:qFormat/>
    <w:uiPriority w:val="34"/>
    <w:pPr>
      <w:ind w:firstLine="420" w:firstLineChars="200"/>
    </w:pPr>
  </w:style>
  <w:style w:type="paragraph" w:customStyle="1" w:styleId="45">
    <w:name w:val="正文文本1"/>
    <w:basedOn w:val="1"/>
    <w:qFormat/>
    <w:uiPriority w:val="0"/>
    <w:pPr>
      <w:shd w:val="clear" w:color="auto" w:fill="FFFFFF"/>
      <w:spacing w:line="610" w:lineRule="exact"/>
      <w:jc w:val="center"/>
    </w:pPr>
    <w:rPr>
      <w:rFonts w:ascii="宋体" w:hAnsi="宋体" w:eastAsia="宋体" w:cs="宋体"/>
      <w:sz w:val="28"/>
      <w:szCs w:val="28"/>
    </w:rPr>
  </w:style>
  <w:style w:type="paragraph" w:customStyle="1" w:styleId="46">
    <w:name w:val="题注1"/>
    <w:next w:val="1"/>
    <w:qFormat/>
    <w:uiPriority w:val="0"/>
    <w:pPr>
      <w:widowControl w:val="0"/>
      <w:adjustRightInd w:val="0"/>
      <w:spacing w:before="240" w:after="120" w:line="288" w:lineRule="auto"/>
      <w:jc w:val="center"/>
    </w:pPr>
    <w:rPr>
      <w:rFonts w:ascii="Times New Roman" w:hAnsi="Times New Roman" w:eastAsia="宋体" w:cs="宋体"/>
      <w:kern w:val="2"/>
      <w:sz w:val="24"/>
      <w:szCs w:val="22"/>
      <w:lang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339</Words>
  <Characters>352</Characters>
  <Lines>35</Lines>
  <Paragraphs>9</Paragraphs>
  <TotalTime>4</TotalTime>
  <ScaleCrop>false</ScaleCrop>
  <LinksUpToDate>false</LinksUpToDate>
  <CharactersWithSpaces>358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2022-09-27T07:43:00Z</dcterms:created>
  <dc:creator>Liao KangCheng</dc:creator>
  <cp:lastModifiedBy>白海丹</cp:lastModifiedBy>
  <dcterms:modified xsi:type="dcterms:W3CDTF">2026-06-01T03:10:22Z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012170A0420347A89154D3512890171D_12</vt:lpwstr>
  </property>
  <property fmtid="{D5CDD505-2E9C-101B-9397-08002B2CF9AE}" pid="4" name="KSOTemplateDocerSaveRecord">
    <vt:lpwstr>eyJoZGlkIjoiMDc5ZmMwZTNkY2FjMjU1Y2Y4ZTlkNzhjNmI4MDEyNjciLCJ1c2VySWQiOiI0NDQ3MDkxMjgifQ==</vt:lpwstr>
  </property>
</Properties>
</file>