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10171FD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Hlk88569120"/>
      <w:r>
        <w:rPr>
          <w:rFonts w:hint="eastAsia" w:ascii="隶书" w:hAnsi="隶书" w:eastAsia="隶书" w:cs="隶书"/>
          <w:lang w:val="en-US" w:eastAsia="zh-CN"/>
        </w:rPr>
        <w:t>降本增效 绿色转型：废电解液循环泵节能</w:t>
      </w:r>
    </w:p>
    <w:p w14:paraId="010299D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改造实践与效益分析</w:t>
      </w:r>
    </w:p>
    <w:bookmarkEnd w:id="0"/>
    <w:p w14:paraId="00709F4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聂涛 陈姣姣 邓怀泽 李艳娇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 </w:t>
      </w:r>
    </w:p>
    <w:p w14:paraId="204CC2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昆明嘉和科技股份有限公司</w:t>
      </w:r>
    </w:p>
    <w:p w14:paraId="7399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26272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目前，冶炼行业废电解液循环泵多采用塑料离心泵，普遍存在高能耗、低效率、振动大、运行可靠性差等问题。本文针对锌冶炼废电解液强腐蚀、含微量颗粒的介质特性与实际运行工况，研发 OHC 型高效节能泵：水力经 CFD 仿真优化，过流部件采用超级双相不锈钢，抗点蚀、缝隙腐蚀与均匀腐蚀能力强；泵实测效率达到《GB 32284-2015石油化工离心泵能效限定值及能效等级》一级能效。配套高效永磁同步电机与智能无线传感器，可实现节能减碳、状态实时监测与故障智能预警，显著降低运维成本与非计划停机风险，保障设备长周期稳定运行。</w:t>
      </w:r>
    </w:p>
    <w:p w14:paraId="680A6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废电解液循环泵 OHC高效节能泵 节能改造 能效等级 CFD仿真</w:t>
      </w:r>
    </w:p>
    <w:p w14:paraId="5D35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F08E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1.引言</w:t>
      </w:r>
    </w:p>
    <w:p w14:paraId="4BB35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1.1 背景概述</w:t>
      </w:r>
    </w:p>
    <w:p w14:paraId="6BA10109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2091690" cy="229679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92148" cy="22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7C359"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图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1</w:t>
      </w:r>
      <w:r>
        <w:rPr>
          <w:rFonts w:hint="eastAsia" w:ascii="宋体" w:hAnsi="宋体" w:eastAsia="宋体"/>
          <w:b/>
          <w:bCs/>
          <w:szCs w:val="21"/>
        </w:rPr>
        <w:t xml:space="preserve"> 废电解液循环泵流程图</w:t>
      </w:r>
    </w:p>
    <w:p w14:paraId="083F4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锌/铜电积工艺中，废电解液循环系统由上塔泵、明槽泵构成核心输送单元（详见图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）：</w:t>
      </w:r>
    </w:p>
    <w:p w14:paraId="3820AC37">
      <w:pPr>
        <w:pStyle w:val="3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上塔泵：将循环池废电解液送至冷却塔顶部喷淋降温，流入分配槽；</w:t>
      </w:r>
    </w:p>
    <w:p w14:paraId="7BB93DF8">
      <w:pPr>
        <w:pStyle w:val="3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明槽泵：直接送至二楼分配槽；</w:t>
      </w:r>
    </w:p>
    <w:p w14:paraId="422CECA4">
      <w:pPr>
        <w:pStyle w:val="3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介质经供液溜槽进入电解槽完成电积，再回流至循环池，形成闭路循环。</w:t>
      </w:r>
    </w:p>
    <w:p w14:paraId="5429E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废电解液含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硫酸、氟离子、氯离子</w:t>
      </w:r>
      <w:r>
        <w:rPr>
          <w:rFonts w:hint="eastAsia" w:ascii="宋体" w:hAnsi="宋体" w:eastAsia="宋体" w:cs="宋体"/>
          <w:sz w:val="21"/>
          <w:szCs w:val="21"/>
        </w:rPr>
        <w:t>，并夹带微量固体颗粒，传统泵型以塑料离心泵或内衬塑料泵为主，难以兼顾耐蚀与耐磨，并且塑料泵效率低，不满足企业节能降耗的发展战略。</w:t>
      </w:r>
    </w:p>
    <w:p w14:paraId="44E49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1.2 现状与挑战</w:t>
      </w:r>
    </w:p>
    <w:p w14:paraId="33B9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传统塑料泵存在以下痛点：</w:t>
      </w:r>
    </w:p>
    <w:p w14:paraId="37233C57">
      <w:pPr>
        <w:pStyle w:val="3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耐蚀但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不耐磨，叶轮、泵壳磨损快，密封易泄漏；</w:t>
      </w:r>
    </w:p>
    <w:p w14:paraId="4AEC0938">
      <w:pPr>
        <w:pStyle w:val="3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水力模型陈旧、内表面光洁度低，效率偏低、能耗高；</w:t>
      </w:r>
    </w:p>
    <w:p w14:paraId="698B1AA8">
      <w:pPr>
        <w:pStyle w:val="3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振动大、故障率高，维修频率高；</w:t>
      </w:r>
    </w:p>
    <w:p w14:paraId="214EEAAC">
      <w:pPr>
        <w:pStyle w:val="3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设备运行能耗高，不符合 “双碳” 管控要求；</w:t>
      </w:r>
    </w:p>
    <w:p w14:paraId="5ED86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1.3 改造必要性</w:t>
      </w:r>
    </w:p>
    <w:p w14:paraId="42AAD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响应国家节能减排政策，实现降本、增效、减碳、长周期运行，提升冶炼企业设备管理水平与市场竞争力。</w:t>
      </w:r>
    </w:p>
    <w:p w14:paraId="0F2F0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2.废电解液循环泵系统能耗诊断与分析</w:t>
      </w:r>
    </w:p>
    <w:p w14:paraId="7CDD9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改造前运行概况</w:t>
      </w:r>
    </w:p>
    <w:p w14:paraId="54066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以某电锌厂为例：电解循环系统共 20 台泵，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上塔泵 10 台、明槽泵 10 台；</w:t>
      </w:r>
      <w:r>
        <w:rPr>
          <w:rFonts w:hint="eastAsia" w:ascii="宋体" w:hAnsi="宋体" w:eastAsia="宋体" w:cs="宋体"/>
          <w:sz w:val="21"/>
          <w:szCs w:val="21"/>
        </w:rPr>
        <w:t>上塔泵供至三楼冷却塔，明槽泵供至二楼分配槽；运行台数由槽温、酸锌比调节。</w:t>
      </w:r>
    </w:p>
    <w:p w14:paraId="4D9D6D9F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2737485" cy="2320290"/>
            <wp:effectExtent l="0" t="0" r="5715" b="3810"/>
            <wp:docPr id="2" name="图片 2" descr="C:\Users\Lenovo\Desktop\43eto7stu6wv5wf2e9e2ure2z_960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43eto7stu6wv5wf2e9e2ure2z_960X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04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17B4C"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图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2</w:t>
      </w:r>
      <w:r>
        <w:rPr>
          <w:rFonts w:ascii="宋体" w:hAnsi="宋体" w:eastAsia="宋体"/>
          <w:b/>
          <w:bCs/>
          <w:szCs w:val="21"/>
        </w:rPr>
        <w:t xml:space="preserve"> </w:t>
      </w:r>
      <w:r>
        <w:rPr>
          <w:rFonts w:hint="eastAsia" w:ascii="宋体" w:hAnsi="宋体" w:eastAsia="宋体"/>
          <w:b/>
          <w:bCs/>
          <w:szCs w:val="21"/>
        </w:rPr>
        <w:t>现场图片</w:t>
      </w:r>
    </w:p>
    <w:p w14:paraId="6E1F0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能耗基准建立</w:t>
      </w:r>
    </w:p>
    <w:p w14:paraId="6FFCA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2.2.1 原泵及电机参数</w:t>
      </w:r>
    </w:p>
    <w:tbl>
      <w:tblPr>
        <w:tblStyle w:val="17"/>
        <w:tblW w:w="4998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7"/>
        <w:gridCol w:w="2973"/>
        <w:gridCol w:w="1769"/>
        <w:gridCol w:w="2459"/>
      </w:tblGrid>
      <w:tr w14:paraId="7B1053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985" w:type="pct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AD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项目</w:t>
            </w:r>
          </w:p>
        </w:tc>
        <w:tc>
          <w:tcPr>
            <w:tcW w:w="1657" w:type="pct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E7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参数</w:t>
            </w:r>
          </w:p>
        </w:tc>
        <w:tc>
          <w:tcPr>
            <w:tcW w:w="986" w:type="pct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78C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项目</w:t>
            </w:r>
          </w:p>
        </w:tc>
        <w:tc>
          <w:tcPr>
            <w:tcW w:w="1370" w:type="pct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05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参数</w:t>
            </w:r>
          </w:p>
        </w:tc>
      </w:tr>
      <w:tr w14:paraId="7C1154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5" w:type="pct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53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泵型号</w:t>
            </w:r>
          </w:p>
        </w:tc>
        <w:tc>
          <w:tcPr>
            <w:tcW w:w="1657" w:type="pct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83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250HFP-ZK500-44</w:t>
            </w:r>
          </w:p>
        </w:tc>
        <w:tc>
          <w:tcPr>
            <w:tcW w:w="986" w:type="pct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EB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结构</w:t>
            </w:r>
          </w:p>
        </w:tc>
        <w:tc>
          <w:tcPr>
            <w:tcW w:w="1370" w:type="pct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111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卧式单级单吸</w:t>
            </w:r>
          </w:p>
        </w:tc>
      </w:tr>
      <w:tr w14:paraId="7C09D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B52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流量</w:t>
            </w:r>
          </w:p>
        </w:tc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E6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 m³/h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CA8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扬程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45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44 m</w:t>
            </w:r>
          </w:p>
        </w:tc>
      </w:tr>
      <w:tr w14:paraId="562AAB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6D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功率</w:t>
            </w:r>
          </w:p>
        </w:tc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394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160 kW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C1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转速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06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1480 r/min</w:t>
            </w:r>
          </w:p>
        </w:tc>
      </w:tr>
      <w:tr w14:paraId="105708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B25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电机型号</w:t>
            </w:r>
          </w:p>
        </w:tc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C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Y2-315L-4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7FE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效率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AA3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95.8%</w:t>
            </w:r>
          </w:p>
        </w:tc>
      </w:tr>
      <w:tr w14:paraId="4D2AE3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5" w:type="pct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51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功率因数</w:t>
            </w:r>
          </w:p>
        </w:tc>
        <w:tc>
          <w:tcPr>
            <w:tcW w:w="1657" w:type="pct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3C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0.89</w:t>
            </w:r>
          </w:p>
        </w:tc>
        <w:tc>
          <w:tcPr>
            <w:tcW w:w="986" w:type="pct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74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额定电流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D79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286 A</w:t>
            </w:r>
          </w:p>
        </w:tc>
      </w:tr>
    </w:tbl>
    <w:p w14:paraId="7F86C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2.2.2 实际运行参数确定</w:t>
      </w:r>
    </w:p>
    <w:p w14:paraId="57B67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现场无压力表、流量计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，采用铭牌校核 + 原泵性能测试报告 + 现场勘查 + 用户确认确定工况：</w:t>
      </w:r>
    </w:p>
    <w:p w14:paraId="4107E6F7">
      <w:pPr>
        <w:pStyle w:val="3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原泵 500 m³/h 时实测扬程 52 m，余量偏大；</w:t>
      </w:r>
    </w:p>
    <w:p w14:paraId="7DCF1178">
      <w:pPr>
        <w:pStyle w:val="3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上塔 / 明槽泵因分步改造，通过现场实测高差、管路损失计算、预留一定的富裕量、结合工艺需求，与用户充分沟通后，确定节能泵流量按600 m³/h、扬程按40m设计；</w:t>
      </w:r>
    </w:p>
    <w:p w14:paraId="1B3493AB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3695065" cy="4076700"/>
            <wp:effectExtent l="0" t="0" r="63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1258" cy="411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19239">
      <w:pPr>
        <w:spacing w:line="360" w:lineRule="auto"/>
        <w:jc w:val="center"/>
        <w:rPr>
          <w:rFonts w:hint="eastAsia"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图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 xml:space="preserve">3 </w:t>
      </w:r>
      <w:r>
        <w:rPr>
          <w:rFonts w:hint="eastAsia" w:ascii="宋体" w:hAnsi="宋体" w:eastAsia="宋体"/>
          <w:b/>
          <w:bCs/>
          <w:szCs w:val="21"/>
        </w:rPr>
        <w:t>原泵性能测试报告</w:t>
      </w:r>
    </w:p>
    <w:p w14:paraId="3D10A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2.2.3 能耗标准确定</w:t>
      </w:r>
    </w:p>
    <w:p w14:paraId="6B7BB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现场调研时，实际运行8台泵，变频器实际显示电流如下表：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115"/>
      </w:tblGrid>
      <w:tr w14:paraId="6081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4CE4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泵名称</w:t>
            </w:r>
          </w:p>
        </w:tc>
        <w:tc>
          <w:tcPr>
            <w:tcW w:w="3115" w:type="dxa"/>
          </w:tcPr>
          <w:p w14:paraId="4B7A9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实际运行电流</w:t>
            </w:r>
          </w:p>
        </w:tc>
      </w:tr>
      <w:tr w14:paraId="6881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4B6C1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2#上塔泵</w:t>
            </w:r>
          </w:p>
        </w:tc>
        <w:tc>
          <w:tcPr>
            <w:tcW w:w="3115" w:type="dxa"/>
          </w:tcPr>
          <w:p w14:paraId="151AF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272A</w:t>
            </w:r>
          </w:p>
        </w:tc>
      </w:tr>
      <w:tr w14:paraId="1070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30E55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5#明槽泵</w:t>
            </w:r>
          </w:p>
        </w:tc>
        <w:tc>
          <w:tcPr>
            <w:tcW w:w="3115" w:type="dxa"/>
          </w:tcPr>
          <w:p w14:paraId="636BE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230A</w:t>
            </w:r>
          </w:p>
        </w:tc>
      </w:tr>
      <w:tr w14:paraId="63EA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75A31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6#上塔泵</w:t>
            </w:r>
          </w:p>
        </w:tc>
        <w:tc>
          <w:tcPr>
            <w:tcW w:w="3115" w:type="dxa"/>
          </w:tcPr>
          <w:p w14:paraId="2672B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285A</w:t>
            </w:r>
          </w:p>
        </w:tc>
      </w:tr>
      <w:tr w14:paraId="70E6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66994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7#上塔泵</w:t>
            </w:r>
          </w:p>
        </w:tc>
        <w:tc>
          <w:tcPr>
            <w:tcW w:w="3115" w:type="dxa"/>
          </w:tcPr>
          <w:p w14:paraId="7204E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270A</w:t>
            </w:r>
          </w:p>
        </w:tc>
      </w:tr>
      <w:tr w14:paraId="2DB2C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55616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13#上塔泵</w:t>
            </w:r>
          </w:p>
        </w:tc>
        <w:tc>
          <w:tcPr>
            <w:tcW w:w="3115" w:type="dxa"/>
          </w:tcPr>
          <w:p w14:paraId="146E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268A</w:t>
            </w:r>
          </w:p>
        </w:tc>
      </w:tr>
      <w:tr w14:paraId="221F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352D0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14#明槽泵</w:t>
            </w:r>
          </w:p>
        </w:tc>
        <w:tc>
          <w:tcPr>
            <w:tcW w:w="3115" w:type="dxa"/>
          </w:tcPr>
          <w:p w14:paraId="0CA5A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236A</w:t>
            </w:r>
          </w:p>
        </w:tc>
      </w:tr>
      <w:tr w14:paraId="33DE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120F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15#上塔泵</w:t>
            </w:r>
          </w:p>
        </w:tc>
        <w:tc>
          <w:tcPr>
            <w:tcW w:w="3115" w:type="dxa"/>
          </w:tcPr>
          <w:p w14:paraId="077B4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263A</w:t>
            </w:r>
          </w:p>
        </w:tc>
      </w:tr>
      <w:tr w14:paraId="258A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088C6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16#明槽泵</w:t>
            </w:r>
          </w:p>
        </w:tc>
        <w:tc>
          <w:tcPr>
            <w:tcW w:w="3115" w:type="dxa"/>
          </w:tcPr>
          <w:p w14:paraId="6C5A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235A</w:t>
            </w:r>
          </w:p>
        </w:tc>
      </w:tr>
      <w:tr w14:paraId="4367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</w:tcPr>
          <w:p w14:paraId="2260F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bookmarkStart w:id="1" w:name="_Hlk226965256"/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8台泵电流平均值</w:t>
            </w:r>
          </w:p>
        </w:tc>
        <w:tc>
          <w:tcPr>
            <w:tcW w:w="3115" w:type="dxa"/>
          </w:tcPr>
          <w:p w14:paraId="020B0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257A</w:t>
            </w:r>
          </w:p>
        </w:tc>
      </w:tr>
      <w:bookmarkEnd w:id="1"/>
    </w:tbl>
    <w:p w14:paraId="2B476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现场8台泵平均电流257A，结合用户历史平均电流记录266A，与用户约定原泵平均能耗基准按电流260A记录。故原泵实际平均能耗为：</w:t>
      </w:r>
    </w:p>
    <w:p w14:paraId="65D7A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position w:val="-6"/>
          <w:sz w:val="21"/>
          <w:szCs w:val="21"/>
        </w:rPr>
        <w:object>
          <v:shape id="_x0000_i1025" o:spt="75" type="#_x0000_t75" style="height:18pt;width:408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</w:p>
    <w:p w14:paraId="724C66F6">
      <w:pPr>
        <w:pStyle w:val="32"/>
        <w:keepNext w:val="0"/>
        <w:keepLines w:val="0"/>
        <w:pageBreakBefore w:val="0"/>
        <w:widowControl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高能耗问题诊断</w:t>
      </w:r>
    </w:p>
    <w:p w14:paraId="200A4BB9">
      <w:pPr>
        <w:pStyle w:val="3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水力效率低：从原泵测试报告可知，在流量600m³/h时效率仅有61%；</w:t>
      </w:r>
    </w:p>
    <w:p w14:paraId="060BA445">
      <w:pPr>
        <w:pStyle w:val="3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原泵运行偏离高效区：从原泵性能测试报告可知，在流量600m³/h时仍未达到高效点，泵偏小流量区间运行，未在最佳效率区间运行；</w:t>
      </w:r>
    </w:p>
    <w:p w14:paraId="29B55697">
      <w:pPr>
        <w:pStyle w:val="3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泵扬程余量过大：实际需40m，原泵达52m，600m³/h扬程也有47.6m；</w:t>
      </w:r>
    </w:p>
    <w:p w14:paraId="45CAA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节能改造方案设计与选择</w:t>
      </w:r>
    </w:p>
    <w:p w14:paraId="18BF0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改造目标</w:t>
      </w:r>
    </w:p>
    <w:p w14:paraId="59DE2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节能：平均节电率≥25%；</w:t>
      </w:r>
    </w:p>
    <w:p w14:paraId="78A95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寿命：过流部件使用寿命≥2年；</w:t>
      </w:r>
    </w:p>
    <w:p w14:paraId="51319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可靠性：振动降低、泄漏消除、运维简化；</w:t>
      </w:r>
    </w:p>
    <w:p w14:paraId="05847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方案比较确定</w:t>
      </w:r>
    </w:p>
    <w:p w14:paraId="4ECEE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节能改造的主要方案有：变频调速、车削叶轮外径、高效泵替换等。由于原泵为塑料泵，本身效率较低，且现场已有变频调速功能，常年满频运行，故变频调速及车削叶轮外径的方法均不可行，且用户要求提高设备使用寿命，故采用高效泵替换的方案。</w:t>
      </w:r>
    </w:p>
    <w:p w14:paraId="7FBB9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3.3 方案评估</w:t>
      </w:r>
    </w:p>
    <w:p w14:paraId="1AC93A87">
      <w:pPr>
        <w:pStyle w:val="32"/>
        <w:keepNext w:val="0"/>
        <w:keepLines w:val="0"/>
        <w:pageBreakBefore w:val="0"/>
        <w:widowControl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技术可行性评估</w:t>
      </w:r>
    </w:p>
    <w:p w14:paraId="7E7BF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材质可靠性：本次改造过流部件采用超级双相不锈钢，在其他相同工位已有成功运用经验，材质可行；</w:t>
      </w:r>
    </w:p>
    <w:p w14:paraId="28299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节能潜力预测与经济效益分析：按流量600m³/h，扬程40m，效率80%设计高效泵，介质比重按1200 kg/m³，电费按0.5元/度计算，平均节电率可达到30%以上，年均每台泵节省电费18万元以上，可以满足用户平均节电率≥25%的目标。</w:t>
      </w:r>
    </w:p>
    <w:p w14:paraId="2A4BB9B7">
      <w:pPr>
        <w:pStyle w:val="32"/>
        <w:keepNext w:val="0"/>
        <w:keepLines w:val="0"/>
        <w:pageBreakBefore w:val="0"/>
        <w:widowControl w:val="0"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风险分析：</w:t>
      </w:r>
    </w:p>
    <w:p w14:paraId="74F2BD36">
      <w:pPr>
        <w:pStyle w:val="3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原泵现场无密封冲洗水，高效泵替换后需从外引入密封冲洗水对密封进行冲洗；</w:t>
      </w:r>
    </w:p>
    <w:p w14:paraId="054EB001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高效泵替换需整改现场水泥基础；</w:t>
      </w:r>
    </w:p>
    <w:p w14:paraId="3C8160F3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高效泵替换是否会对生产造成影响。</w:t>
      </w:r>
    </w:p>
    <w:p w14:paraId="55A6E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3.4 方案确定</w:t>
      </w:r>
    </w:p>
    <w:p w14:paraId="3B51A2A2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泵参数：600 m³/h、40 m、效率≥80%，电机160 kW 降至 110 kW； </w:t>
      </w:r>
    </w:p>
    <w:p w14:paraId="3BB3AB1C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材质：超级双相不锈钢，适配硫酸 + 氟氯腐蚀工况； </w:t>
      </w:r>
    </w:p>
    <w:p w14:paraId="41FBE6BC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密封：集装式机械密封 + 独立循环冲洗水系统； </w:t>
      </w:r>
    </w:p>
    <w:p w14:paraId="494B6DBC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安装：测绘原泵尺寸，管路不动、快速替换； </w:t>
      </w:r>
    </w:p>
    <w:p w14:paraId="0B4EEF50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智能：温振一体化无线传感器 + 云平台，实现监测、预警、诊断； </w:t>
      </w:r>
    </w:p>
    <w:p w14:paraId="32284FF1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>电机：高效永磁同步电机，进一步提升节能效果。</w:t>
      </w:r>
    </w:p>
    <w:p w14:paraId="49A90416">
      <w:pPr>
        <w:pStyle w:val="3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/>
        <w:jc w:val="center"/>
        <w:textAlignment w:val="auto"/>
        <w:rPr>
          <w:rFonts w:ascii="宋体" w:hAnsi="宋体" w:eastAsia="宋体"/>
          <w:sz w:val="24"/>
          <w:szCs w:val="24"/>
        </w:rPr>
      </w:pPr>
      <w:r>
        <w:rPr>
          <w:rFonts w:ascii="宋体" w:hAnsi="宋体"/>
          <w:kern w:val="0"/>
          <w:szCs w:val="24"/>
        </w:rPr>
        <w:drawing>
          <wp:inline distT="0" distB="0" distL="0" distR="0">
            <wp:extent cx="3895725" cy="1677035"/>
            <wp:effectExtent l="0" t="0" r="9525" b="18415"/>
            <wp:docPr id="4" name="图片 4" descr="20210816135818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108161358184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0131" cy="172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E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节能改造实施过程</w:t>
      </w:r>
    </w:p>
    <w:p w14:paraId="271B5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 详细设计</w:t>
      </w:r>
    </w:p>
    <w:p w14:paraId="78C6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4.1.1泵选型</w:t>
      </w:r>
    </w:p>
    <w:p w14:paraId="4F688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>原泵为单级单吸、底角支撑卧式离心泵，进出口方向为水平进垂直出，为保证新设计泵型与原泵进出口尺寸一致，故选择相近结构泵型。</w:t>
      </w:r>
    </w:p>
    <w:p w14:paraId="1B3C04D1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403600" cy="2552700"/>
            <wp:effectExtent l="0" t="0" r="6350" b="0"/>
            <wp:docPr id="5" name="图片 5" descr="D:\WORKS\2025\论文\脱硫和电解等收集的照片\IMG_20230202_11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WORKS\2025\论文\脱硫和电解等收集的照片\IMG_20230202_1106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0978" cy="2558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2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图4 原泵照片</w:t>
      </w:r>
    </w:p>
    <w:p w14:paraId="62960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我公司高效单级单吸、底角支撑卧式离心泵为OHC系列，该系列泵型按API610标准设计、制造，结构符合API610中的OH1泵型，泵设计效率以《GB 32284–2015石油化工离心泵能效限定值及能效等级》一级能效为目标开发水力，适于输送各种清洁或含有少量颗粒、低温或高温、中低压、中性或有腐蚀性的介质，进出口与原泵一致，免改管路。</w:t>
      </w:r>
    </w:p>
    <w:p w14:paraId="3A763ADB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3909695" cy="2726690"/>
            <wp:effectExtent l="0" t="0" r="14605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4487" cy="2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58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图5 OHC高效泵三维模型</w:t>
      </w:r>
    </w:p>
    <w:p w14:paraId="7B19F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4.1.2 水力优化</w:t>
      </w:r>
    </w:p>
    <w:p w14:paraId="25C60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采</w:t>
      </w:r>
      <w:r>
        <w:rPr>
          <w:rFonts w:ascii="宋体" w:hAnsi="宋体" w:eastAsia="宋体"/>
          <w:b w:val="0"/>
          <w:bCs w:val="0"/>
          <w:sz w:val="21"/>
          <w:szCs w:val="21"/>
        </w:rPr>
        <w:t>用三元流 + CFD 仿真优化流道，消除涡流；精密铸造 + 精密加工 + 流道喷丸，效率达83.5%（600 m³/h），高效区 480~800 m³/h 效率＞80%，满足 GB 32284-2015 一级能效。</w:t>
      </w:r>
    </w:p>
    <w:p w14:paraId="29AC95E3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18"/>
          <w:szCs w:val="18"/>
        </w:rPr>
        <w:drawing>
          <wp:inline distT="0" distB="0" distL="0" distR="0">
            <wp:extent cx="1733550" cy="2496185"/>
            <wp:effectExtent l="0" t="0" r="0" b="18415"/>
            <wp:docPr id="7" name="图片 7" descr="5-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-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477" cy="251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18"/>
          <w:szCs w:val="18"/>
        </w:rPr>
        <w:drawing>
          <wp:inline distT="0" distB="0" distL="0" distR="0">
            <wp:extent cx="1704340" cy="2501900"/>
            <wp:effectExtent l="0" t="0" r="10160" b="12700"/>
            <wp:docPr id="8" name="图片 8" descr="5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-v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18"/>
          <w:szCs w:val="18"/>
        </w:rPr>
        <w:drawing>
          <wp:inline distT="0" distB="0" distL="0" distR="0">
            <wp:extent cx="1609090" cy="2501900"/>
            <wp:effectExtent l="0" t="0" r="10160" b="12700"/>
            <wp:docPr id="9" name="图片 9" descr="5-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-l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D9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图6 静压云图、速度云图、速度流线图</w:t>
      </w:r>
    </w:p>
    <w:p w14:paraId="01C8AF2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 w14:paraId="07C1E8E4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939790" cy="2372360"/>
            <wp:effectExtent l="0" t="0" r="381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96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图7 精密铸造叶轮</w:t>
      </w:r>
    </w:p>
    <w:p w14:paraId="6C4E5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4.1.3 结构及材质</w:t>
      </w:r>
    </w:p>
    <w:p w14:paraId="6E6E9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根据OHC泵型结构特点，整体悬架部件利用公司现有悬架部件，并计算、选择符合该工况的最优悬架部件，水力部件按性能优化的部件组合进行结构设计，在保证可靠性的前提下降低了成本。</w:t>
      </w:r>
    </w:p>
    <w:p w14:paraId="6720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材质选择具有使用经验的超级双相不锈钢，保障设备使用寿命。</w:t>
      </w:r>
    </w:p>
    <w:p w14:paraId="7CAC892D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4236720" cy="2955290"/>
            <wp:effectExtent l="0" t="0" r="1143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55935" cy="29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EE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图8 结构及主要零部件</w:t>
      </w:r>
    </w:p>
    <w:p w14:paraId="15E4E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4.1.4 密封冷却水管路设计</w:t>
      </w:r>
    </w:p>
    <w:p w14:paraId="0F7FB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由于原泵无密封冲洗水，且现场无冲洗水管路，需要设计一套密封冲洗水管路对密封进行冲洗、冷却、润滑。我公司设计了一套循环冲洗水系统，在外部放置水箱，利用管道泵将水压力提升至满足密封要求，对20台泵密封进行冲洗后又回到水箱，水压力通过压力变送器送至用户DCS监测冲洗水压力。管道泵一用一备，具备故障、压力报警切换泵等功能。</w:t>
      </w:r>
    </w:p>
    <w:p w14:paraId="42D3F866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711190" cy="2150110"/>
            <wp:effectExtent l="0" t="0" r="381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1812" cy="215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B6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图9 冲洗水管路流程图</w:t>
      </w:r>
    </w:p>
    <w:p w14:paraId="13179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4.2 安装及调试与试运行</w:t>
      </w:r>
    </w:p>
    <w:p w14:paraId="72D8B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在泵替换前先将密封冲洗水管路安装好，通过前期的测绘工作，将用户改造工作将至最低，泵体进出口完全可与现场现有管路连接；根据用户的泵开停计划，将停机泵现场拆除并重新找平水泥基础，利用现有管路、地脚螺栓安装新泵后二次灌浆。做到最快速的泵替换，避免影响用户生产。</w:t>
      </w:r>
    </w:p>
    <w:p w14:paraId="5BE7807C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2528570" cy="1896110"/>
            <wp:effectExtent l="0" t="0" r="5080" b="8890"/>
            <wp:docPr id="14" name="图片 14" descr="C:\Users\Lenovo\Desktop\IMG_20241225_153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Lenovo\Desktop\IMG_20241225_1533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955" cy="191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2540635" cy="1905000"/>
            <wp:effectExtent l="0" t="0" r="12065" b="0"/>
            <wp:docPr id="15" name="图片 15" descr="C:\Users\Lenovo\Desktop\IMG_20241225_15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Lenovo\Desktop\IMG_20241225_1534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4757" cy="193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6A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图10 冲洗水管路及现场更换泵</w:t>
      </w:r>
    </w:p>
    <w:p w14:paraId="4D07F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由于现场泵为单台泵单独管路输送至冷却塔或分配槽，单台泵安装完成后即可进行试运行，不影响整个系统的运行。</w:t>
      </w:r>
    </w:p>
    <w:p w14:paraId="5BB7B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 w:val="21"/>
          <w:szCs w:val="21"/>
        </w:rPr>
        <w:t>经过实际测试，该高效泵高效点约700m³/h，扬程40m，效率85%，达到《GB 32284–2015石油化工离心泵能效限定值及能效等级》一级能效标准，整泵高效区宽，从480m³/h至800m³/h效率均大于80%，用户在不同工况均可高效运行。在节能评价点600m³/h时，扬程42m，效率83.5%，满足设计目标。</w:t>
      </w:r>
    </w:p>
    <w:p w14:paraId="541A9241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4053840" cy="4516120"/>
            <wp:effectExtent l="0" t="0" r="3810" b="177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67029" cy="453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2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图11 改造泵实测性能曲线</w:t>
      </w:r>
    </w:p>
    <w:p w14:paraId="68A95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经过现场试运行，设计泵型完全满足用户的工艺需求。</w:t>
      </w:r>
    </w:p>
    <w:p w14:paraId="40D1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改造效果评估与验证</w:t>
      </w:r>
    </w:p>
    <w:p w14:paraId="6C0C2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5.1 运行性能：</w:t>
      </w:r>
    </w:p>
    <w:p w14:paraId="02594020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电锌厂已完成10台泵的替换安装，10台泵均运行平稳，流量扬程等工艺参数满足工艺需求；</w:t>
      </w:r>
    </w:p>
    <w:p w14:paraId="135F70F3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泵振动从原塑料泵6-7mm/s降至2-3mm/s；</w:t>
      </w:r>
    </w:p>
    <w:p w14:paraId="79456592">
      <w:pPr>
        <w:pStyle w:val="32"/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运行超过10个月，拆检后过流部件未见明显腐蚀；</w:t>
      </w:r>
    </w:p>
    <w:p w14:paraId="31968BA2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1685925" cy="2331085"/>
            <wp:effectExtent l="0" t="0" r="9525" b="12065"/>
            <wp:docPr id="16" name="图片 16" descr="C:\Users\Lenovo\Desktop\mmexport1757049199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Lenovo\Desktop\mmexport17570491999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66718" cy="24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2486025" cy="2334260"/>
            <wp:effectExtent l="0" t="0" r="9525" b="8890"/>
            <wp:docPr id="17" name="图片 17" descr="C:\Users\Lenovo\Desktop\41rp7nm80lduyprxql6ca8lmm_720X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Lenovo\Desktop\41rp7nm80lduyprxql6ca8lmm_720X9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3" b="19150"/>
                    <a:stretch>
                      <a:fillRect/>
                    </a:stretch>
                  </pic:blipFill>
                  <pic:spPr>
                    <a:xfrm>
                      <a:off x="0" y="0"/>
                      <a:ext cx="2560340" cy="240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F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图12 过流部件拆检情况</w:t>
      </w:r>
    </w:p>
    <w:p w14:paraId="4CC6B037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4272280" cy="3202940"/>
            <wp:effectExtent l="0" t="0" r="13970" b="16510"/>
            <wp:docPr id="18" name="图片 18" descr="C:\Users\Lenovo\Desktop\IMG_20241225_15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Desktop\IMG_20241225_15335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7196" cy="320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C1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图13 改造后现场</w:t>
      </w:r>
    </w:p>
    <w:p w14:paraId="4E333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5.2 能耗数据对比</w:t>
      </w:r>
    </w:p>
    <w:p w14:paraId="2212B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新泵/电机参数：</w:t>
      </w:r>
    </w:p>
    <w:tbl>
      <w:tblPr>
        <w:tblStyle w:val="17"/>
        <w:tblW w:w="8948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54"/>
        <w:gridCol w:w="5694"/>
      </w:tblGrid>
      <w:tr w14:paraId="41A1CD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3254" w:type="dxa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72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项目</w:t>
            </w:r>
          </w:p>
        </w:tc>
        <w:tc>
          <w:tcPr>
            <w:tcW w:w="5694" w:type="dxa"/>
            <w:tcBorders>
              <w:top w:val="single" w:color="CCCCCC" w:sz="12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54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参数</w:t>
            </w:r>
          </w:p>
        </w:tc>
      </w:tr>
      <w:tr w14:paraId="6F9D42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E3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泵型号</w:t>
            </w:r>
          </w:p>
        </w:tc>
        <w:tc>
          <w:tcPr>
            <w:tcW w:w="5694" w:type="dxa"/>
            <w:tcBorders>
              <w:top w:val="single" w:color="CCCCCC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995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OHC200×250×370</w:t>
            </w:r>
          </w:p>
        </w:tc>
      </w:tr>
      <w:tr w14:paraId="3764B4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7D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流量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FB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600 m³/h</w:t>
            </w:r>
          </w:p>
        </w:tc>
      </w:tr>
      <w:tr w14:paraId="6631CB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66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扬程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EDA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42 m</w:t>
            </w:r>
          </w:p>
        </w:tc>
      </w:tr>
      <w:tr w14:paraId="202E20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91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功率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83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110 kW</w:t>
            </w:r>
          </w:p>
        </w:tc>
      </w:tr>
      <w:tr w14:paraId="0A909A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FD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电机效率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A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≥96%</w:t>
            </w:r>
          </w:p>
        </w:tc>
      </w:tr>
      <w:tr w14:paraId="093DF0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3254" w:type="dxa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71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功率因数</w:t>
            </w:r>
          </w:p>
        </w:tc>
        <w:tc>
          <w:tcPr>
            <w:tcW w:w="5694" w:type="dxa"/>
            <w:tcBorders>
              <w:top w:val="nil"/>
              <w:left w:val="nil"/>
              <w:bottom w:val="single" w:color="CCCCCC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F4D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0.96</w:t>
            </w:r>
          </w:p>
        </w:tc>
      </w:tr>
    </w:tbl>
    <w:p w14:paraId="5D3CC5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改造前后电流对比（8台泵）：改造后实际运行电流较改造前明显降低。</w:t>
      </w:r>
    </w:p>
    <w:p w14:paraId="4342063D">
      <w:pPr>
        <w:pStyle w:val="32"/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改造前平均：260 A； </w:t>
      </w:r>
    </w:p>
    <w:p w14:paraId="18B464DC">
      <w:pPr>
        <w:pStyle w:val="32"/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改造后平均：150 A。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2985"/>
        <w:gridCol w:w="2985"/>
      </w:tblGrid>
      <w:tr w14:paraId="0EC4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15F6E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泵名称</w:t>
            </w:r>
          </w:p>
        </w:tc>
        <w:tc>
          <w:tcPr>
            <w:tcW w:w="3115" w:type="dxa"/>
          </w:tcPr>
          <w:p w14:paraId="778BB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改造前实际运行电流</w:t>
            </w:r>
          </w:p>
        </w:tc>
        <w:tc>
          <w:tcPr>
            <w:tcW w:w="3115" w:type="dxa"/>
          </w:tcPr>
          <w:p w14:paraId="1EC6D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改造后实际运行电流</w:t>
            </w:r>
          </w:p>
        </w:tc>
      </w:tr>
      <w:tr w14:paraId="2B5C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26D37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2#上塔泵</w:t>
            </w:r>
          </w:p>
        </w:tc>
        <w:tc>
          <w:tcPr>
            <w:tcW w:w="3115" w:type="dxa"/>
          </w:tcPr>
          <w:p w14:paraId="1AA9C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272A</w:t>
            </w:r>
          </w:p>
        </w:tc>
        <w:tc>
          <w:tcPr>
            <w:tcW w:w="3115" w:type="dxa"/>
          </w:tcPr>
          <w:p w14:paraId="24AED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155A</w:t>
            </w:r>
          </w:p>
        </w:tc>
      </w:tr>
      <w:tr w14:paraId="4B68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67FBE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5#明槽泵</w:t>
            </w:r>
          </w:p>
        </w:tc>
        <w:tc>
          <w:tcPr>
            <w:tcW w:w="3115" w:type="dxa"/>
          </w:tcPr>
          <w:p w14:paraId="189F9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230A</w:t>
            </w:r>
          </w:p>
        </w:tc>
        <w:tc>
          <w:tcPr>
            <w:tcW w:w="3115" w:type="dxa"/>
          </w:tcPr>
          <w:p w14:paraId="1E83F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127A</w:t>
            </w:r>
          </w:p>
        </w:tc>
      </w:tr>
      <w:tr w14:paraId="65D1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1A13F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6#上塔泵</w:t>
            </w:r>
          </w:p>
        </w:tc>
        <w:tc>
          <w:tcPr>
            <w:tcW w:w="3115" w:type="dxa"/>
          </w:tcPr>
          <w:p w14:paraId="3CAE8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285A</w:t>
            </w:r>
          </w:p>
        </w:tc>
        <w:tc>
          <w:tcPr>
            <w:tcW w:w="3115" w:type="dxa"/>
          </w:tcPr>
          <w:p w14:paraId="523F6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160A</w:t>
            </w:r>
          </w:p>
        </w:tc>
      </w:tr>
      <w:tr w14:paraId="2094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5A93D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7#上塔泵</w:t>
            </w:r>
          </w:p>
        </w:tc>
        <w:tc>
          <w:tcPr>
            <w:tcW w:w="3115" w:type="dxa"/>
          </w:tcPr>
          <w:p w14:paraId="2908E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270A</w:t>
            </w:r>
          </w:p>
        </w:tc>
        <w:tc>
          <w:tcPr>
            <w:tcW w:w="3115" w:type="dxa"/>
          </w:tcPr>
          <w:p w14:paraId="28CE8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163A</w:t>
            </w:r>
          </w:p>
        </w:tc>
      </w:tr>
      <w:tr w14:paraId="102D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3C050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13#上塔泵</w:t>
            </w:r>
          </w:p>
        </w:tc>
        <w:tc>
          <w:tcPr>
            <w:tcW w:w="3115" w:type="dxa"/>
          </w:tcPr>
          <w:p w14:paraId="738EF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268A</w:t>
            </w:r>
          </w:p>
        </w:tc>
        <w:tc>
          <w:tcPr>
            <w:tcW w:w="3115" w:type="dxa"/>
          </w:tcPr>
          <w:p w14:paraId="4BCDC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159A</w:t>
            </w:r>
          </w:p>
        </w:tc>
      </w:tr>
      <w:tr w14:paraId="3465F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3E74D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14#明槽泵</w:t>
            </w:r>
          </w:p>
        </w:tc>
        <w:tc>
          <w:tcPr>
            <w:tcW w:w="3115" w:type="dxa"/>
          </w:tcPr>
          <w:p w14:paraId="6BA96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236A</w:t>
            </w:r>
          </w:p>
        </w:tc>
        <w:tc>
          <w:tcPr>
            <w:tcW w:w="3115" w:type="dxa"/>
          </w:tcPr>
          <w:p w14:paraId="36923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137A</w:t>
            </w:r>
          </w:p>
        </w:tc>
      </w:tr>
      <w:tr w14:paraId="63A5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50BC4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15#上塔泵</w:t>
            </w:r>
          </w:p>
        </w:tc>
        <w:tc>
          <w:tcPr>
            <w:tcW w:w="3115" w:type="dxa"/>
          </w:tcPr>
          <w:p w14:paraId="7687C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263A</w:t>
            </w:r>
          </w:p>
        </w:tc>
        <w:tc>
          <w:tcPr>
            <w:tcW w:w="3115" w:type="dxa"/>
          </w:tcPr>
          <w:p w14:paraId="1B7F8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161A</w:t>
            </w:r>
          </w:p>
        </w:tc>
      </w:tr>
      <w:tr w14:paraId="1962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114" w:type="dxa"/>
          </w:tcPr>
          <w:p w14:paraId="56982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16#明槽泵</w:t>
            </w:r>
          </w:p>
        </w:tc>
        <w:tc>
          <w:tcPr>
            <w:tcW w:w="3115" w:type="dxa"/>
          </w:tcPr>
          <w:p w14:paraId="676FA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235A</w:t>
            </w:r>
          </w:p>
        </w:tc>
        <w:tc>
          <w:tcPr>
            <w:tcW w:w="3115" w:type="dxa"/>
          </w:tcPr>
          <w:p w14:paraId="649A3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123A</w:t>
            </w:r>
          </w:p>
        </w:tc>
      </w:tr>
    </w:tbl>
    <w:p w14:paraId="0D47C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5.3 经济效益</w:t>
      </w:r>
    </w:p>
    <w:p w14:paraId="2B082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效益如下：</w:t>
      </w:r>
    </w:p>
    <w:p w14:paraId="02B9B64D">
      <w:pPr>
        <w:pStyle w:val="32"/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节电率：37.6%； </w:t>
      </w:r>
    </w:p>
    <w:p w14:paraId="516B91B2">
      <w:pPr>
        <w:pStyle w:val="32"/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单台小时节电：54.9 kW； </w:t>
      </w:r>
    </w:p>
    <w:p w14:paraId="467F42E8">
      <w:pPr>
        <w:pStyle w:val="32"/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年运行 8000 h、电价 0.5 元 / 度：</w:t>
      </w:r>
    </w:p>
    <w:p w14:paraId="4C22CD86">
      <w:pPr>
        <w:pStyle w:val="32"/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 台年节电费用：439.2 万元。</w:t>
      </w:r>
    </w:p>
    <w:p w14:paraId="4EB0A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详细计算如下：</w:t>
      </w:r>
    </w:p>
    <w:p w14:paraId="489504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改造后的高效泵实际平均能耗为：</w:t>
      </w:r>
    </w:p>
    <w:p w14:paraId="57B445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position w:val="-6"/>
          <w:sz w:val="21"/>
          <w:szCs w:val="21"/>
        </w:rPr>
        <w:object>
          <v:shape id="_x0000_i1026" o:spt="75" type="#_x0000_t75" style="height:18pt;width:384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24">
            <o:LockedField>false</o:LockedField>
          </o:OLEObject>
        </w:object>
      </w:r>
    </w:p>
    <w:p w14:paraId="0B1549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故平均每台泵每小时节电率为：</w:t>
      </w:r>
    </w:p>
    <w:p w14:paraId="2C415B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position w:val="-26"/>
          <w:sz w:val="21"/>
          <w:szCs w:val="21"/>
        </w:rPr>
        <w:object>
          <v:shape id="_x0000_i1027" o:spt="75" type="#_x0000_t75" style="height:33pt;width:255.7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26">
            <o:LockedField>false</o:LockedField>
          </o:OLEObject>
        </w:object>
      </w:r>
    </w:p>
    <w:p w14:paraId="0A8D5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平均每台泵每小时节电率为145.9-91=54.9kW，按每年每台泵运行8000小时，电费0.5元/度计算，20台泵年节约电费为：</w:t>
      </w:r>
    </w:p>
    <w:p w14:paraId="66940F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54.9×20×8000×0.5=439.2万元</w:t>
      </w:r>
    </w:p>
    <w:p w14:paraId="02826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 总结</w:t>
      </w:r>
    </w:p>
    <w:p w14:paraId="52251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本次改造以高效泵替换为核心，结合 CFD 水力优化、超级双相不锈钢、永磁电机、智能监测、密封冲洗系统，实现：</w:t>
      </w:r>
    </w:p>
    <w:p w14:paraId="1FD1C7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1、节电率 37.6%，年节电费用超 439 万元；</w:t>
      </w:r>
    </w:p>
    <w:p w14:paraId="1E2845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2、耐蚀耐磨提升，寿命≥2 年；</w:t>
      </w:r>
    </w:p>
    <w:p w14:paraId="3E90B8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3、振动降低、无泄漏、运维成本下降；</w:t>
      </w:r>
    </w:p>
    <w:p w14:paraId="7892D1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4、符合 “双碳” 与绿色冶炼发展方向；</w:t>
      </w:r>
    </w:p>
    <w:p w14:paraId="5BA43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通过对废电解液循环泵的节能改造，降低了企业的生产成本，提高了设备运行的可靠性，在带来经济效益的同时，也塑造了绿色企业的形象，符合可持续发展的趋势。节能改造的意义远不止“省电费”这么简单，更是一个降本、增效、提质、减碳的多赢战略。</w:t>
      </w:r>
    </w:p>
    <w:p w14:paraId="374D7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B41E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参考文献：</w:t>
      </w:r>
    </w:p>
    <w:p w14:paraId="3D3D34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[1]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关醒凡。现代泵理论与设计 [M]. 北京：中国宇航出版社，2011. </w:t>
      </w:r>
    </w:p>
    <w:p w14:paraId="437F27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[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]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成大先。机械设计手册 [M]. 北京：化学工业出版社. </w:t>
      </w:r>
    </w:p>
    <w:p w14:paraId="747EC1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[3]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API610 石油、化工和天然气工业用离心泵（第 12 版）. </w:t>
      </w:r>
    </w:p>
    <w:p w14:paraId="0E2D37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[4] </w:t>
      </w:r>
      <w:r>
        <w:rPr>
          <w:rFonts w:hint="eastAsia" w:ascii="宋体" w:hAnsi="宋体" w:eastAsia="宋体" w:cs="宋体"/>
          <w:kern w:val="0"/>
          <w:sz w:val="21"/>
          <w:szCs w:val="21"/>
        </w:rPr>
        <w:t>GB 32284-2015 石油化工离心泵能效限定值及能效等级 [S].</w:t>
      </w:r>
    </w:p>
    <w:p w14:paraId="246C1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2" w:name="_GoBack"/>
      <w:bookmarkEnd w:id="2"/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73A18"/>
    <w:multiLevelType w:val="multilevel"/>
    <w:tmpl w:val="18373A1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8E00F39"/>
    <w:multiLevelType w:val="multilevel"/>
    <w:tmpl w:val="18E00F39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215C09D6"/>
    <w:multiLevelType w:val="multilevel"/>
    <w:tmpl w:val="215C09D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43B55C8"/>
    <w:multiLevelType w:val="multilevel"/>
    <w:tmpl w:val="443B55C8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46711C37"/>
    <w:multiLevelType w:val="multilevel"/>
    <w:tmpl w:val="46711C37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5">
    <w:nsid w:val="57C73B58"/>
    <w:multiLevelType w:val="multilevel"/>
    <w:tmpl w:val="57C73B58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6">
    <w:nsid w:val="6EF34075"/>
    <w:multiLevelType w:val="multilevel"/>
    <w:tmpl w:val="6EF34075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7">
    <w:nsid w:val="766C6057"/>
    <w:multiLevelType w:val="multilevel"/>
    <w:tmpl w:val="766C6057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8">
    <w:nsid w:val="792F42F7"/>
    <w:multiLevelType w:val="multilevel"/>
    <w:tmpl w:val="792F42F7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9">
    <w:nsid w:val="7A3D4245"/>
    <w:multiLevelType w:val="multilevel"/>
    <w:tmpl w:val="7A3D424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9637F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C02BF"/>
    <w:rsid w:val="00FD2258"/>
    <w:rsid w:val="0116312F"/>
    <w:rsid w:val="01205D5C"/>
    <w:rsid w:val="01447E91"/>
    <w:rsid w:val="01520363"/>
    <w:rsid w:val="01687703"/>
    <w:rsid w:val="01C963F3"/>
    <w:rsid w:val="01DE1C5C"/>
    <w:rsid w:val="01E21263"/>
    <w:rsid w:val="02203B3A"/>
    <w:rsid w:val="0293255D"/>
    <w:rsid w:val="02B86B51"/>
    <w:rsid w:val="02EB4148"/>
    <w:rsid w:val="030D2310"/>
    <w:rsid w:val="03127926"/>
    <w:rsid w:val="03304250"/>
    <w:rsid w:val="033B50CF"/>
    <w:rsid w:val="0374238F"/>
    <w:rsid w:val="03A5079A"/>
    <w:rsid w:val="03C50E3C"/>
    <w:rsid w:val="03C527A5"/>
    <w:rsid w:val="048748A1"/>
    <w:rsid w:val="04CC1D57"/>
    <w:rsid w:val="04DC643E"/>
    <w:rsid w:val="051A6F66"/>
    <w:rsid w:val="056106F1"/>
    <w:rsid w:val="05AE130F"/>
    <w:rsid w:val="05FB3670"/>
    <w:rsid w:val="06112117"/>
    <w:rsid w:val="062077BC"/>
    <w:rsid w:val="065F10D4"/>
    <w:rsid w:val="06734B80"/>
    <w:rsid w:val="06BC5DD2"/>
    <w:rsid w:val="0730481F"/>
    <w:rsid w:val="07372051"/>
    <w:rsid w:val="076E5F7E"/>
    <w:rsid w:val="076F3599"/>
    <w:rsid w:val="078608E3"/>
    <w:rsid w:val="07A86AAB"/>
    <w:rsid w:val="07B471FE"/>
    <w:rsid w:val="07C05BA3"/>
    <w:rsid w:val="07E3246F"/>
    <w:rsid w:val="07E66997"/>
    <w:rsid w:val="07F7358F"/>
    <w:rsid w:val="082A5712"/>
    <w:rsid w:val="08564759"/>
    <w:rsid w:val="08A14055"/>
    <w:rsid w:val="08BA0844"/>
    <w:rsid w:val="091A7E4E"/>
    <w:rsid w:val="093D1475"/>
    <w:rsid w:val="09773B45"/>
    <w:rsid w:val="09931095"/>
    <w:rsid w:val="09F00295"/>
    <w:rsid w:val="09FA0216"/>
    <w:rsid w:val="0A4B20AA"/>
    <w:rsid w:val="0AAC68B2"/>
    <w:rsid w:val="0AEE6ECB"/>
    <w:rsid w:val="0AFF2E86"/>
    <w:rsid w:val="0B415214"/>
    <w:rsid w:val="0B584344"/>
    <w:rsid w:val="0B664CB3"/>
    <w:rsid w:val="0B837613"/>
    <w:rsid w:val="0C0E77A3"/>
    <w:rsid w:val="0C2B45A8"/>
    <w:rsid w:val="0C4E6409"/>
    <w:rsid w:val="0C580AA0"/>
    <w:rsid w:val="0C8E44C1"/>
    <w:rsid w:val="0C9C72BD"/>
    <w:rsid w:val="0CB11F5E"/>
    <w:rsid w:val="0CDE6ACB"/>
    <w:rsid w:val="0CE82491"/>
    <w:rsid w:val="0CF56428"/>
    <w:rsid w:val="0D2A3ABE"/>
    <w:rsid w:val="0D31309F"/>
    <w:rsid w:val="0D525F6F"/>
    <w:rsid w:val="0D731909"/>
    <w:rsid w:val="0DA11FD2"/>
    <w:rsid w:val="0DD979BE"/>
    <w:rsid w:val="0E470192"/>
    <w:rsid w:val="0E5352AC"/>
    <w:rsid w:val="0E6E6DE3"/>
    <w:rsid w:val="0E792F4F"/>
    <w:rsid w:val="0E975183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5F2578"/>
    <w:rsid w:val="10667503"/>
    <w:rsid w:val="108035FE"/>
    <w:rsid w:val="108C6F6A"/>
    <w:rsid w:val="108F6A5A"/>
    <w:rsid w:val="109E6C9D"/>
    <w:rsid w:val="10B85FB1"/>
    <w:rsid w:val="10BB15FD"/>
    <w:rsid w:val="10D34B99"/>
    <w:rsid w:val="10DE353E"/>
    <w:rsid w:val="111156C1"/>
    <w:rsid w:val="111B6540"/>
    <w:rsid w:val="11407D54"/>
    <w:rsid w:val="123F1DBA"/>
    <w:rsid w:val="12751C80"/>
    <w:rsid w:val="12BB3B36"/>
    <w:rsid w:val="12CF1390"/>
    <w:rsid w:val="12DB7D35"/>
    <w:rsid w:val="12E60488"/>
    <w:rsid w:val="13001868"/>
    <w:rsid w:val="13021765"/>
    <w:rsid w:val="132A2A6A"/>
    <w:rsid w:val="13AB3BAB"/>
    <w:rsid w:val="13BA3DEE"/>
    <w:rsid w:val="13BD38DE"/>
    <w:rsid w:val="13CB5FFB"/>
    <w:rsid w:val="14482A57"/>
    <w:rsid w:val="1457788F"/>
    <w:rsid w:val="145D3907"/>
    <w:rsid w:val="148A7C64"/>
    <w:rsid w:val="14B4083D"/>
    <w:rsid w:val="156C2EC6"/>
    <w:rsid w:val="158D108E"/>
    <w:rsid w:val="15AC7766"/>
    <w:rsid w:val="15C56B00"/>
    <w:rsid w:val="16132CB9"/>
    <w:rsid w:val="1663076D"/>
    <w:rsid w:val="16B20DAC"/>
    <w:rsid w:val="16B25250"/>
    <w:rsid w:val="16B8213B"/>
    <w:rsid w:val="16D2144F"/>
    <w:rsid w:val="17123F41"/>
    <w:rsid w:val="17836BED"/>
    <w:rsid w:val="178C5AA1"/>
    <w:rsid w:val="17AD77C6"/>
    <w:rsid w:val="180933FC"/>
    <w:rsid w:val="185C6006"/>
    <w:rsid w:val="18616F2E"/>
    <w:rsid w:val="189E3CDE"/>
    <w:rsid w:val="18BF5A03"/>
    <w:rsid w:val="191221DB"/>
    <w:rsid w:val="19235F91"/>
    <w:rsid w:val="19410F9C"/>
    <w:rsid w:val="19800B64"/>
    <w:rsid w:val="19836A30"/>
    <w:rsid w:val="199944A6"/>
    <w:rsid w:val="19D84FCE"/>
    <w:rsid w:val="19FD4A34"/>
    <w:rsid w:val="1A533F79"/>
    <w:rsid w:val="1A5A1E87"/>
    <w:rsid w:val="1B2F179A"/>
    <w:rsid w:val="1B6F3710"/>
    <w:rsid w:val="1B7900EB"/>
    <w:rsid w:val="1BA710FC"/>
    <w:rsid w:val="1C250273"/>
    <w:rsid w:val="1C362480"/>
    <w:rsid w:val="1C424981"/>
    <w:rsid w:val="1C5648D0"/>
    <w:rsid w:val="1C7B60E4"/>
    <w:rsid w:val="1D01483C"/>
    <w:rsid w:val="1D282951"/>
    <w:rsid w:val="1D5D57EA"/>
    <w:rsid w:val="1DC13FCB"/>
    <w:rsid w:val="1E171E3D"/>
    <w:rsid w:val="1E18008F"/>
    <w:rsid w:val="1E804FAB"/>
    <w:rsid w:val="1E9516DF"/>
    <w:rsid w:val="1EBA2EF4"/>
    <w:rsid w:val="1EC41FC5"/>
    <w:rsid w:val="1EF81C6E"/>
    <w:rsid w:val="1EFE3E02"/>
    <w:rsid w:val="1F6814DE"/>
    <w:rsid w:val="1F78690B"/>
    <w:rsid w:val="1FA40E26"/>
    <w:rsid w:val="1FBC7140"/>
    <w:rsid w:val="20181E55"/>
    <w:rsid w:val="20200F8C"/>
    <w:rsid w:val="204B20BB"/>
    <w:rsid w:val="204F1D62"/>
    <w:rsid w:val="205C7FDB"/>
    <w:rsid w:val="20971041"/>
    <w:rsid w:val="20CA763A"/>
    <w:rsid w:val="21294361"/>
    <w:rsid w:val="21661758"/>
    <w:rsid w:val="21D40771"/>
    <w:rsid w:val="227635D6"/>
    <w:rsid w:val="22BA5BB9"/>
    <w:rsid w:val="22F8223D"/>
    <w:rsid w:val="230D784D"/>
    <w:rsid w:val="2355768F"/>
    <w:rsid w:val="23B32608"/>
    <w:rsid w:val="23B95F13"/>
    <w:rsid w:val="24174945"/>
    <w:rsid w:val="24212C83"/>
    <w:rsid w:val="243467B4"/>
    <w:rsid w:val="244020ED"/>
    <w:rsid w:val="24724271"/>
    <w:rsid w:val="248B32E5"/>
    <w:rsid w:val="24B17D3C"/>
    <w:rsid w:val="24EE1B49"/>
    <w:rsid w:val="251315B0"/>
    <w:rsid w:val="25513E86"/>
    <w:rsid w:val="25867FD4"/>
    <w:rsid w:val="259C77F7"/>
    <w:rsid w:val="25DF1492"/>
    <w:rsid w:val="25ED269A"/>
    <w:rsid w:val="262A3A04"/>
    <w:rsid w:val="26802C75"/>
    <w:rsid w:val="269C7383"/>
    <w:rsid w:val="26B66697"/>
    <w:rsid w:val="26BA2A56"/>
    <w:rsid w:val="26CA2142"/>
    <w:rsid w:val="273D46C2"/>
    <w:rsid w:val="2742617D"/>
    <w:rsid w:val="27435A51"/>
    <w:rsid w:val="27466F3A"/>
    <w:rsid w:val="276F4A98"/>
    <w:rsid w:val="27C76682"/>
    <w:rsid w:val="283B6E9A"/>
    <w:rsid w:val="28414686"/>
    <w:rsid w:val="284B1061"/>
    <w:rsid w:val="28771E56"/>
    <w:rsid w:val="287C746C"/>
    <w:rsid w:val="288A7DDB"/>
    <w:rsid w:val="288D3427"/>
    <w:rsid w:val="28BA7F95"/>
    <w:rsid w:val="28C3509B"/>
    <w:rsid w:val="28D44D60"/>
    <w:rsid w:val="28E53263"/>
    <w:rsid w:val="28F2772E"/>
    <w:rsid w:val="29177195"/>
    <w:rsid w:val="29AE18A7"/>
    <w:rsid w:val="29D84B76"/>
    <w:rsid w:val="29DB01C2"/>
    <w:rsid w:val="29F55569"/>
    <w:rsid w:val="2A172511"/>
    <w:rsid w:val="2A6D1762"/>
    <w:rsid w:val="2A9C2048"/>
    <w:rsid w:val="2AC31382"/>
    <w:rsid w:val="2AF37C49"/>
    <w:rsid w:val="2B54647E"/>
    <w:rsid w:val="2B8C5C18"/>
    <w:rsid w:val="2BA016C4"/>
    <w:rsid w:val="2BDF11C1"/>
    <w:rsid w:val="2BF043F9"/>
    <w:rsid w:val="2C1A3224"/>
    <w:rsid w:val="2C3B13EC"/>
    <w:rsid w:val="2C5F332D"/>
    <w:rsid w:val="2CDC497D"/>
    <w:rsid w:val="2CEB4BC0"/>
    <w:rsid w:val="2D0F6B01"/>
    <w:rsid w:val="2DA03BFD"/>
    <w:rsid w:val="2DA336ED"/>
    <w:rsid w:val="2DD45655"/>
    <w:rsid w:val="2E7221A8"/>
    <w:rsid w:val="2EA25753"/>
    <w:rsid w:val="2EA80FBB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7215C9"/>
    <w:rsid w:val="2F882B9B"/>
    <w:rsid w:val="2FA86D99"/>
    <w:rsid w:val="2FAF1ED5"/>
    <w:rsid w:val="2FD61B58"/>
    <w:rsid w:val="2FDD2EE6"/>
    <w:rsid w:val="2FE53B49"/>
    <w:rsid w:val="30275F10"/>
    <w:rsid w:val="30CB71E3"/>
    <w:rsid w:val="312F3756"/>
    <w:rsid w:val="31496359"/>
    <w:rsid w:val="315C7E3B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5E7BE3"/>
    <w:rsid w:val="326571C3"/>
    <w:rsid w:val="3273368E"/>
    <w:rsid w:val="32963820"/>
    <w:rsid w:val="32E20814"/>
    <w:rsid w:val="3341553A"/>
    <w:rsid w:val="337771AE"/>
    <w:rsid w:val="33C5637D"/>
    <w:rsid w:val="33F94067"/>
    <w:rsid w:val="34480B4A"/>
    <w:rsid w:val="34821AD6"/>
    <w:rsid w:val="353335A8"/>
    <w:rsid w:val="35725E7F"/>
    <w:rsid w:val="35860A48"/>
    <w:rsid w:val="35A52FD0"/>
    <w:rsid w:val="35AB1391"/>
    <w:rsid w:val="35AF0E81"/>
    <w:rsid w:val="35C01ECA"/>
    <w:rsid w:val="35D501BC"/>
    <w:rsid w:val="35F5085E"/>
    <w:rsid w:val="36407D2B"/>
    <w:rsid w:val="365E4655"/>
    <w:rsid w:val="36AB3E1C"/>
    <w:rsid w:val="36BE3BE8"/>
    <w:rsid w:val="36DA26A7"/>
    <w:rsid w:val="36DB5CA6"/>
    <w:rsid w:val="36F154C9"/>
    <w:rsid w:val="37227431"/>
    <w:rsid w:val="37353608"/>
    <w:rsid w:val="3756532C"/>
    <w:rsid w:val="375872F6"/>
    <w:rsid w:val="375F2433"/>
    <w:rsid w:val="37B01725"/>
    <w:rsid w:val="38061044"/>
    <w:rsid w:val="381C3783"/>
    <w:rsid w:val="38762952"/>
    <w:rsid w:val="389E342F"/>
    <w:rsid w:val="38BD5663"/>
    <w:rsid w:val="38C5276A"/>
    <w:rsid w:val="38E76B84"/>
    <w:rsid w:val="390019F4"/>
    <w:rsid w:val="39285C1B"/>
    <w:rsid w:val="39783C80"/>
    <w:rsid w:val="398C3287"/>
    <w:rsid w:val="399551B1"/>
    <w:rsid w:val="39D619B3"/>
    <w:rsid w:val="3A445910"/>
    <w:rsid w:val="3A557B1D"/>
    <w:rsid w:val="3A726921"/>
    <w:rsid w:val="3A765FE2"/>
    <w:rsid w:val="3AE96BE3"/>
    <w:rsid w:val="3B27770B"/>
    <w:rsid w:val="3B653D90"/>
    <w:rsid w:val="3B7D732B"/>
    <w:rsid w:val="3BAE3989"/>
    <w:rsid w:val="3BCC3E0F"/>
    <w:rsid w:val="3BD66A3C"/>
    <w:rsid w:val="3BEE1FD7"/>
    <w:rsid w:val="3BFC2946"/>
    <w:rsid w:val="3C102F41"/>
    <w:rsid w:val="3C424796"/>
    <w:rsid w:val="3C830972"/>
    <w:rsid w:val="3CC044ED"/>
    <w:rsid w:val="3CC25530"/>
    <w:rsid w:val="3CC52D38"/>
    <w:rsid w:val="3CD13DD3"/>
    <w:rsid w:val="3CF4186F"/>
    <w:rsid w:val="3D0715A3"/>
    <w:rsid w:val="3D1837B0"/>
    <w:rsid w:val="3D2757A1"/>
    <w:rsid w:val="3DA212CB"/>
    <w:rsid w:val="3DBB238D"/>
    <w:rsid w:val="3DBD6105"/>
    <w:rsid w:val="3DF15DAF"/>
    <w:rsid w:val="3E216046"/>
    <w:rsid w:val="3E4405D4"/>
    <w:rsid w:val="3E9450B8"/>
    <w:rsid w:val="3E9C5D1B"/>
    <w:rsid w:val="3EFB6EE5"/>
    <w:rsid w:val="3F375A43"/>
    <w:rsid w:val="3F762A0F"/>
    <w:rsid w:val="3FA4757D"/>
    <w:rsid w:val="3FB6105E"/>
    <w:rsid w:val="3FB62E0C"/>
    <w:rsid w:val="3FDD2A8F"/>
    <w:rsid w:val="3FE444E6"/>
    <w:rsid w:val="3FEA0D08"/>
    <w:rsid w:val="4044666A"/>
    <w:rsid w:val="40583EC3"/>
    <w:rsid w:val="40642868"/>
    <w:rsid w:val="407A652F"/>
    <w:rsid w:val="407B0D9B"/>
    <w:rsid w:val="40923879"/>
    <w:rsid w:val="40B51316"/>
    <w:rsid w:val="40E13EB9"/>
    <w:rsid w:val="410F592B"/>
    <w:rsid w:val="411424E0"/>
    <w:rsid w:val="415154E2"/>
    <w:rsid w:val="41641264"/>
    <w:rsid w:val="41700BEB"/>
    <w:rsid w:val="41D74882"/>
    <w:rsid w:val="41D81760"/>
    <w:rsid w:val="423972BB"/>
    <w:rsid w:val="42402E61"/>
    <w:rsid w:val="426C3C56"/>
    <w:rsid w:val="42786A9F"/>
    <w:rsid w:val="42A67168"/>
    <w:rsid w:val="42BC1743"/>
    <w:rsid w:val="42EE53FF"/>
    <w:rsid w:val="4315253F"/>
    <w:rsid w:val="43370708"/>
    <w:rsid w:val="437B23A2"/>
    <w:rsid w:val="43CF0940"/>
    <w:rsid w:val="43E4263E"/>
    <w:rsid w:val="44410996"/>
    <w:rsid w:val="44B02520"/>
    <w:rsid w:val="44BA15F0"/>
    <w:rsid w:val="45554E75"/>
    <w:rsid w:val="459D60E3"/>
    <w:rsid w:val="45B70627"/>
    <w:rsid w:val="45BC6CA2"/>
    <w:rsid w:val="45CA5863"/>
    <w:rsid w:val="45E5444B"/>
    <w:rsid w:val="4609638B"/>
    <w:rsid w:val="4634247E"/>
    <w:rsid w:val="46362EF9"/>
    <w:rsid w:val="465515D1"/>
    <w:rsid w:val="468E4AE3"/>
    <w:rsid w:val="46F54E2D"/>
    <w:rsid w:val="46FD57C4"/>
    <w:rsid w:val="47213261"/>
    <w:rsid w:val="475C698F"/>
    <w:rsid w:val="47925F0D"/>
    <w:rsid w:val="47A143DA"/>
    <w:rsid w:val="47DB78B4"/>
    <w:rsid w:val="47E6777F"/>
    <w:rsid w:val="47E81E53"/>
    <w:rsid w:val="47F866B8"/>
    <w:rsid w:val="483D056E"/>
    <w:rsid w:val="48914416"/>
    <w:rsid w:val="48A028AB"/>
    <w:rsid w:val="48B545A9"/>
    <w:rsid w:val="4953791E"/>
    <w:rsid w:val="495C0DBE"/>
    <w:rsid w:val="49CB1BAA"/>
    <w:rsid w:val="4A070E34"/>
    <w:rsid w:val="4A4F4589"/>
    <w:rsid w:val="4AB60164"/>
    <w:rsid w:val="4B4A4683"/>
    <w:rsid w:val="4B524331"/>
    <w:rsid w:val="4B8E06C7"/>
    <w:rsid w:val="4BC84812"/>
    <w:rsid w:val="4C4A5008"/>
    <w:rsid w:val="4C5C4D3B"/>
    <w:rsid w:val="4C934BC0"/>
    <w:rsid w:val="4C982217"/>
    <w:rsid w:val="4CFB09F8"/>
    <w:rsid w:val="4D057181"/>
    <w:rsid w:val="4D447CA9"/>
    <w:rsid w:val="4D5123C6"/>
    <w:rsid w:val="4D6B792C"/>
    <w:rsid w:val="4DA16EA9"/>
    <w:rsid w:val="4DBE5CAD"/>
    <w:rsid w:val="4DD21759"/>
    <w:rsid w:val="4DDA060D"/>
    <w:rsid w:val="4DED1912"/>
    <w:rsid w:val="4E257ADB"/>
    <w:rsid w:val="4E353A96"/>
    <w:rsid w:val="4EAD187E"/>
    <w:rsid w:val="4EB175C0"/>
    <w:rsid w:val="4EB62E28"/>
    <w:rsid w:val="4EDC6058"/>
    <w:rsid w:val="4EEC05F8"/>
    <w:rsid w:val="4F0911AA"/>
    <w:rsid w:val="4F78309C"/>
    <w:rsid w:val="4F7E394E"/>
    <w:rsid w:val="4FC450D1"/>
    <w:rsid w:val="4FFF25AD"/>
    <w:rsid w:val="508F56DF"/>
    <w:rsid w:val="50A20D13"/>
    <w:rsid w:val="50AD3DB7"/>
    <w:rsid w:val="50AF7B2F"/>
    <w:rsid w:val="50B02F71"/>
    <w:rsid w:val="50C26CF2"/>
    <w:rsid w:val="50D457E8"/>
    <w:rsid w:val="50EC0D83"/>
    <w:rsid w:val="50FE0CB7"/>
    <w:rsid w:val="512D188F"/>
    <w:rsid w:val="51363DAD"/>
    <w:rsid w:val="5139564B"/>
    <w:rsid w:val="513B5867"/>
    <w:rsid w:val="5144673C"/>
    <w:rsid w:val="514E7348"/>
    <w:rsid w:val="517E06C7"/>
    <w:rsid w:val="519D207E"/>
    <w:rsid w:val="51EC090F"/>
    <w:rsid w:val="51FB00AC"/>
    <w:rsid w:val="523522B6"/>
    <w:rsid w:val="528D20F2"/>
    <w:rsid w:val="52E57838"/>
    <w:rsid w:val="52F43F1F"/>
    <w:rsid w:val="53234805"/>
    <w:rsid w:val="538C4158"/>
    <w:rsid w:val="53973965"/>
    <w:rsid w:val="53BA0BD7"/>
    <w:rsid w:val="542B3971"/>
    <w:rsid w:val="54335EE7"/>
    <w:rsid w:val="543640C4"/>
    <w:rsid w:val="5463310B"/>
    <w:rsid w:val="54680721"/>
    <w:rsid w:val="54AF45A2"/>
    <w:rsid w:val="54C142D5"/>
    <w:rsid w:val="55254864"/>
    <w:rsid w:val="553C395C"/>
    <w:rsid w:val="55BA1450"/>
    <w:rsid w:val="55DF2C65"/>
    <w:rsid w:val="56037691"/>
    <w:rsid w:val="56083D8A"/>
    <w:rsid w:val="56135E24"/>
    <w:rsid w:val="564017AC"/>
    <w:rsid w:val="56494582"/>
    <w:rsid w:val="56521689"/>
    <w:rsid w:val="56723AD9"/>
    <w:rsid w:val="567B0721"/>
    <w:rsid w:val="56F05B65"/>
    <w:rsid w:val="56F97D56"/>
    <w:rsid w:val="57081D47"/>
    <w:rsid w:val="578F4217"/>
    <w:rsid w:val="57E97DCB"/>
    <w:rsid w:val="57EF1159"/>
    <w:rsid w:val="583059FA"/>
    <w:rsid w:val="5847689F"/>
    <w:rsid w:val="58532B2C"/>
    <w:rsid w:val="588546D3"/>
    <w:rsid w:val="58984204"/>
    <w:rsid w:val="58C47EF0"/>
    <w:rsid w:val="5928495F"/>
    <w:rsid w:val="59285798"/>
    <w:rsid w:val="592866D1"/>
    <w:rsid w:val="596F60AE"/>
    <w:rsid w:val="59D93E6F"/>
    <w:rsid w:val="5A2A0227"/>
    <w:rsid w:val="5A7B0A82"/>
    <w:rsid w:val="5ACE14FA"/>
    <w:rsid w:val="5ADA7E9F"/>
    <w:rsid w:val="5AE1122D"/>
    <w:rsid w:val="5B0311A3"/>
    <w:rsid w:val="5B243362"/>
    <w:rsid w:val="5B410D1F"/>
    <w:rsid w:val="5B9242D5"/>
    <w:rsid w:val="5BB5218E"/>
    <w:rsid w:val="5BF925A6"/>
    <w:rsid w:val="5BFE5E0F"/>
    <w:rsid w:val="5C3A6E47"/>
    <w:rsid w:val="5C3F26AF"/>
    <w:rsid w:val="5C9D73D6"/>
    <w:rsid w:val="5CAA564F"/>
    <w:rsid w:val="5CAE420D"/>
    <w:rsid w:val="5D0336DD"/>
    <w:rsid w:val="5D417D61"/>
    <w:rsid w:val="5DCF35BF"/>
    <w:rsid w:val="5DF43025"/>
    <w:rsid w:val="5E1748FD"/>
    <w:rsid w:val="5E361890"/>
    <w:rsid w:val="5EDA046D"/>
    <w:rsid w:val="5EE237C6"/>
    <w:rsid w:val="5EFF7ED4"/>
    <w:rsid w:val="5F1020E1"/>
    <w:rsid w:val="5F7679C4"/>
    <w:rsid w:val="5F7F2DC3"/>
    <w:rsid w:val="5FBF1411"/>
    <w:rsid w:val="601A09BC"/>
    <w:rsid w:val="60395667"/>
    <w:rsid w:val="60AA0313"/>
    <w:rsid w:val="60F82E2D"/>
    <w:rsid w:val="610D33E8"/>
    <w:rsid w:val="615D19B1"/>
    <w:rsid w:val="615E35D8"/>
    <w:rsid w:val="6174717F"/>
    <w:rsid w:val="619568CD"/>
    <w:rsid w:val="61B72CE8"/>
    <w:rsid w:val="61E67129"/>
    <w:rsid w:val="61F07FA8"/>
    <w:rsid w:val="621A1E84"/>
    <w:rsid w:val="621A5025"/>
    <w:rsid w:val="624C78D4"/>
    <w:rsid w:val="62CC27C3"/>
    <w:rsid w:val="62F67840"/>
    <w:rsid w:val="63043D0B"/>
    <w:rsid w:val="63133592"/>
    <w:rsid w:val="631F28F3"/>
    <w:rsid w:val="634942E6"/>
    <w:rsid w:val="635A7DCF"/>
    <w:rsid w:val="636C7B02"/>
    <w:rsid w:val="637D586B"/>
    <w:rsid w:val="63872EA4"/>
    <w:rsid w:val="63F26259"/>
    <w:rsid w:val="64061D04"/>
    <w:rsid w:val="640A365A"/>
    <w:rsid w:val="640E2967"/>
    <w:rsid w:val="64371EBE"/>
    <w:rsid w:val="645C7B76"/>
    <w:rsid w:val="646D1A7A"/>
    <w:rsid w:val="64754794"/>
    <w:rsid w:val="64FD7B2B"/>
    <w:rsid w:val="654A5C21"/>
    <w:rsid w:val="657B402C"/>
    <w:rsid w:val="65C07C91"/>
    <w:rsid w:val="6672542F"/>
    <w:rsid w:val="66855163"/>
    <w:rsid w:val="66CA526B"/>
    <w:rsid w:val="67027E5A"/>
    <w:rsid w:val="675B5EC3"/>
    <w:rsid w:val="67C12792"/>
    <w:rsid w:val="67DD0FCE"/>
    <w:rsid w:val="67DF08A2"/>
    <w:rsid w:val="67F3434E"/>
    <w:rsid w:val="681C5653"/>
    <w:rsid w:val="687436E1"/>
    <w:rsid w:val="687A681D"/>
    <w:rsid w:val="687C4343"/>
    <w:rsid w:val="68D73C6F"/>
    <w:rsid w:val="690B56C7"/>
    <w:rsid w:val="690F3409"/>
    <w:rsid w:val="696A4D66"/>
    <w:rsid w:val="69867965"/>
    <w:rsid w:val="699456BD"/>
    <w:rsid w:val="699A7177"/>
    <w:rsid w:val="6A4E3ABD"/>
    <w:rsid w:val="6A9A31A7"/>
    <w:rsid w:val="6AB41186"/>
    <w:rsid w:val="6AD06BC8"/>
    <w:rsid w:val="6B19231D"/>
    <w:rsid w:val="6B317667"/>
    <w:rsid w:val="6B3929BF"/>
    <w:rsid w:val="6B3D425E"/>
    <w:rsid w:val="6B431148"/>
    <w:rsid w:val="6B56531F"/>
    <w:rsid w:val="6B575C91"/>
    <w:rsid w:val="6B581098"/>
    <w:rsid w:val="6B9B0F84"/>
    <w:rsid w:val="6BB8040C"/>
    <w:rsid w:val="6C5C6966"/>
    <w:rsid w:val="6C6E5E1A"/>
    <w:rsid w:val="6C7A6DEC"/>
    <w:rsid w:val="6C8E2897"/>
    <w:rsid w:val="6CDF30F3"/>
    <w:rsid w:val="6D282CEC"/>
    <w:rsid w:val="6D921E65"/>
    <w:rsid w:val="6D967C55"/>
    <w:rsid w:val="6DF606F4"/>
    <w:rsid w:val="6E22598D"/>
    <w:rsid w:val="6E267136"/>
    <w:rsid w:val="6E2D67FA"/>
    <w:rsid w:val="6E6E0BD2"/>
    <w:rsid w:val="6E91041D"/>
    <w:rsid w:val="6E9323E7"/>
    <w:rsid w:val="6ECB392F"/>
    <w:rsid w:val="6F4B4A6F"/>
    <w:rsid w:val="6F562B93"/>
    <w:rsid w:val="6F975F07"/>
    <w:rsid w:val="6FA348AB"/>
    <w:rsid w:val="6FBB39A3"/>
    <w:rsid w:val="6FC0720B"/>
    <w:rsid w:val="6FD23894"/>
    <w:rsid w:val="6FDE3B35"/>
    <w:rsid w:val="6FE23626"/>
    <w:rsid w:val="70383246"/>
    <w:rsid w:val="703D260A"/>
    <w:rsid w:val="7060279C"/>
    <w:rsid w:val="70626FA0"/>
    <w:rsid w:val="70756EB2"/>
    <w:rsid w:val="710D46D2"/>
    <w:rsid w:val="718A5D23"/>
    <w:rsid w:val="71B356D4"/>
    <w:rsid w:val="71DE606F"/>
    <w:rsid w:val="7213079E"/>
    <w:rsid w:val="7258197D"/>
    <w:rsid w:val="72842772"/>
    <w:rsid w:val="72C60FDD"/>
    <w:rsid w:val="72EB27F1"/>
    <w:rsid w:val="730241B0"/>
    <w:rsid w:val="731A1328"/>
    <w:rsid w:val="734833B1"/>
    <w:rsid w:val="73587D13"/>
    <w:rsid w:val="73C53042"/>
    <w:rsid w:val="73F676A0"/>
    <w:rsid w:val="743B50B2"/>
    <w:rsid w:val="7467234B"/>
    <w:rsid w:val="74BF5CE3"/>
    <w:rsid w:val="74E9443F"/>
    <w:rsid w:val="750977D2"/>
    <w:rsid w:val="75263FB5"/>
    <w:rsid w:val="75693EA1"/>
    <w:rsid w:val="756E770A"/>
    <w:rsid w:val="75B25848"/>
    <w:rsid w:val="75F96FD3"/>
    <w:rsid w:val="764566BC"/>
    <w:rsid w:val="766528BB"/>
    <w:rsid w:val="768F268A"/>
    <w:rsid w:val="76C92E49"/>
    <w:rsid w:val="77617526"/>
    <w:rsid w:val="777A05E8"/>
    <w:rsid w:val="77991AFF"/>
    <w:rsid w:val="77A669D3"/>
    <w:rsid w:val="781A1483"/>
    <w:rsid w:val="781F0851"/>
    <w:rsid w:val="7820118F"/>
    <w:rsid w:val="782A7918"/>
    <w:rsid w:val="78A84CE1"/>
    <w:rsid w:val="78B00E0E"/>
    <w:rsid w:val="78C94F9D"/>
    <w:rsid w:val="78FD502C"/>
    <w:rsid w:val="79053EE1"/>
    <w:rsid w:val="79257DFE"/>
    <w:rsid w:val="796450AB"/>
    <w:rsid w:val="79800172"/>
    <w:rsid w:val="79C774C3"/>
    <w:rsid w:val="79EB30D7"/>
    <w:rsid w:val="7A293F0A"/>
    <w:rsid w:val="7A4647B1"/>
    <w:rsid w:val="7A5E24AA"/>
    <w:rsid w:val="7A770E0E"/>
    <w:rsid w:val="7ACB4CB6"/>
    <w:rsid w:val="7ADE3871"/>
    <w:rsid w:val="7B02692A"/>
    <w:rsid w:val="7B1E74DC"/>
    <w:rsid w:val="7B486307"/>
    <w:rsid w:val="7B4B6523"/>
    <w:rsid w:val="7B5B603A"/>
    <w:rsid w:val="7B5C744A"/>
    <w:rsid w:val="7B9F061D"/>
    <w:rsid w:val="7BA55C3B"/>
    <w:rsid w:val="7BD858DD"/>
    <w:rsid w:val="7BE9361F"/>
    <w:rsid w:val="7C6B49A3"/>
    <w:rsid w:val="7C765821"/>
    <w:rsid w:val="7C856E44"/>
    <w:rsid w:val="7CA01BE5"/>
    <w:rsid w:val="7CD24A22"/>
    <w:rsid w:val="7D366D5F"/>
    <w:rsid w:val="7D3B6123"/>
    <w:rsid w:val="7DD722F0"/>
    <w:rsid w:val="7E2B43EA"/>
    <w:rsid w:val="7E32210A"/>
    <w:rsid w:val="7E723DC7"/>
    <w:rsid w:val="7E90249F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791185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oleObject" Target="embeddings/oleObject1.bin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1.wmf"/><Relationship Id="rId26" Type="http://schemas.openxmlformats.org/officeDocument/2006/relationships/oleObject" Target="embeddings/oleObject3.bin"/><Relationship Id="rId25" Type="http://schemas.openxmlformats.org/officeDocument/2006/relationships/image" Target="media/image20.wmf"/><Relationship Id="rId24" Type="http://schemas.openxmlformats.org/officeDocument/2006/relationships/oleObject" Target="embeddings/oleObject2.bin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2950</Words>
  <Characters>2975</Characters>
  <Lines>35</Lines>
  <Paragraphs>9</Paragraphs>
  <TotalTime>0</TotalTime>
  <ScaleCrop>false</ScaleCrop>
  <LinksUpToDate>false</LinksUpToDate>
  <CharactersWithSpaces>2987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2026-04-22T08:02:47Z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