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7E9B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</w:p>
    <w:p w14:paraId="44B8E1D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  <w:r>
        <w:rPr>
          <w:rFonts w:hint="eastAsia" w:ascii="隶书" w:hAnsi="隶书" w:eastAsia="隶书" w:cs="隶书"/>
          <w:lang w:val="en-US" w:eastAsia="zh-CN"/>
        </w:rPr>
        <w:t>浅谈含硫废液制酸装置中的脱硫脱硝系统</w:t>
      </w:r>
    </w:p>
    <w:p w14:paraId="2255335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default" w:ascii="楷体" w:hAnsi="楷体" w:eastAsia="楷体" w:cs="楷体"/>
          <w:color w:val="auto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曹真</w:t>
      </w:r>
      <w:r>
        <w:rPr>
          <w:rFonts w:hint="eastAsia" w:ascii="楷体" w:hAnsi="楷体" w:eastAsia="楷体" w:cs="楷体"/>
          <w:color w:val="auto"/>
          <w:sz w:val="21"/>
          <w:szCs w:val="21"/>
          <w:vertAlign w:val="superscript"/>
          <w:lang w:val="en-US" w:eastAsia="zh-CN"/>
        </w:rPr>
        <w:t>1</w:t>
      </w: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 xml:space="preserve"> 徐小永</w:t>
      </w:r>
      <w:r>
        <w:rPr>
          <w:rFonts w:hint="eastAsia" w:ascii="楷体" w:hAnsi="楷体" w:eastAsia="楷体" w:cs="楷体"/>
          <w:color w:val="auto"/>
          <w:sz w:val="21"/>
          <w:szCs w:val="21"/>
          <w:vertAlign w:val="superscript"/>
          <w:lang w:val="en-US" w:eastAsia="zh-CN"/>
        </w:rPr>
        <w:t>2</w:t>
      </w:r>
    </w:p>
    <w:p w14:paraId="5A49FA0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default" w:ascii="楷体" w:hAnsi="楷体" w:eastAsia="楷体" w:cs="楷体"/>
          <w:color w:val="auto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vertAlign w:val="superscript"/>
          <w:lang w:val="en-US" w:eastAsia="zh-CN"/>
        </w:rPr>
        <w:t>1</w:t>
      </w: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 xml:space="preserve">上海蓝科石化环保科技股份有限公司 </w:t>
      </w:r>
      <w:r>
        <w:rPr>
          <w:rFonts w:hint="eastAsia" w:ascii="楷体" w:hAnsi="楷体" w:eastAsia="楷体" w:cs="楷体"/>
          <w:color w:val="auto"/>
          <w:sz w:val="21"/>
          <w:szCs w:val="21"/>
          <w:vertAlign w:val="superscript"/>
          <w:lang w:val="en-US" w:eastAsia="zh-CN"/>
        </w:rPr>
        <w:t>2</w:t>
      </w: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山东裕龙石化有限公司</w:t>
      </w:r>
    </w:p>
    <w:p w14:paraId="2797D655">
      <w:pPr>
        <w:pStyle w:val="7"/>
        <w:rPr>
          <w:rFonts w:hint="eastAsia"/>
          <w:sz w:val="18"/>
          <w:szCs w:val="18"/>
        </w:rPr>
      </w:pPr>
    </w:p>
    <w:p w14:paraId="34FAB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default" w:ascii="宋体" w:hAnsi="宋体" w:eastAsia="宋体" w:cs="宋体"/>
          <w:b/>
          <w:bCs/>
          <w:lang w:val="en-US" w:eastAsia="zh-CN"/>
        </w:rPr>
      </w:pPr>
      <w:bookmarkStart w:id="0" w:name="OLE_LINK5"/>
      <w:r>
        <w:rPr>
          <w:rFonts w:hint="eastAsia" w:ascii="宋体" w:hAnsi="宋体" w:eastAsia="宋体" w:cs="宋体"/>
          <w:b/>
          <w:bCs/>
          <w:lang w:val="en-US" w:eastAsia="zh-CN"/>
        </w:rPr>
        <w:t>摘要：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>为满足石化行业愈发严格的环保要求，含硫废液高温裂解干法制酸工艺需配套脱硫与脱硝系统。其中，过氧化氢脱硫系统不仅能高效脱除SO</w:t>
      </w:r>
      <w:r>
        <w:rPr>
          <w:rFonts w:hint="eastAsia" w:ascii="宋体" w:hAnsi="宋体" w:eastAsia="宋体" w:cs="宋体"/>
          <w:b w:val="0"/>
          <w:bCs w:val="0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>，还可提升硫的资源化利用率；在转化工序的合适温度区间内增设SCR脱硝系统，可实现NOₓ的高效脱除。</w:t>
      </w:r>
    </w:p>
    <w:p w14:paraId="71CAE7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关键词：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>废酸  含硫废液  SAR  过氧化氢脱硫 SCR脱硝</w:t>
      </w:r>
    </w:p>
    <w:p w14:paraId="68BBCF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03BDB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随着全球气候变化问题备受关注，国内生态环保管控力度持续加码，石化行业烟气中氮氧化物、二氧化硫等大气污染物的排放标准日趋严苛。含硫废液制酸装置（下文简称SAR装置）作为典型的环保资源化设施，其尾气污染物排放若无法稳定达标，将直接制约上游生产装置的连续稳定运行。由此可见，脱硫、脱硝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的环保设施</w:t>
      </w:r>
      <w:r>
        <w:rPr>
          <w:rFonts w:hint="eastAsia" w:ascii="宋体" w:hAnsi="宋体" w:eastAsia="宋体" w:cs="宋体"/>
          <w:sz w:val="21"/>
          <w:szCs w:val="21"/>
        </w:rPr>
        <w:t>是保障整套装置长周期、合规运行的核心环节。</w:t>
      </w:r>
    </w:p>
    <w:p w14:paraId="20BD7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裕龙岛炼化一体化（一期）项目配套建设 26 万吨 / 年丙烯腈装置，针对该装置副产的硫铵废液，同步设置3万吨/年SAR装置，在实现硫资源高效循环利用的同时，完成污染物无害化处置。本文结合工程实例，浅谈含硫废液制酸装置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中的</w:t>
      </w:r>
      <w:r>
        <w:rPr>
          <w:rFonts w:hint="eastAsia" w:ascii="宋体" w:hAnsi="宋体" w:eastAsia="宋体" w:cs="宋体"/>
          <w:sz w:val="21"/>
          <w:szCs w:val="21"/>
        </w:rPr>
        <w:t>脱硫脱硝系统的设计思路及实际运行情况。</w:t>
      </w:r>
    </w:p>
    <w:bookmarkEnd w:id="0"/>
    <w:p w14:paraId="1F1B105D">
      <w:pPr>
        <w:pStyle w:val="3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200"/>
        <w:textAlignment w:val="auto"/>
        <w:outlineLvl w:val="0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1 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装置设计工况</w:t>
      </w:r>
    </w:p>
    <w:p w14:paraId="6C4F8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该SAR装置设计进料能力为硫酸铵溶液 11.7 t/h，装置产品为98%wt的工业浓硫酸，年产规模 30 kt。制酸工艺采用高温裂解技术将硫酸铵分解生成二氧化硫原料气，再依次通过气体净化、气体干燥、催化转化、成品吸收等单元工序，最终产出合格浓硫酸产品。装置主流程框图详见图1；装置设计工况下主要运行参数详见表1：</w:t>
      </w:r>
    </w:p>
    <w:p w14:paraId="384EC9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center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0" distR="0">
            <wp:extent cx="4472305" cy="1794510"/>
            <wp:effectExtent l="0" t="0" r="4445" b="15240"/>
            <wp:docPr id="12625781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578137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2466" cy="1810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06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" w:name="OLE_LINK2"/>
    </w:p>
    <w:p w14:paraId="71646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1C015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4190C4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2" w:name="_GoBack"/>
      <w:bookmarkEnd w:id="2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表1 </w:t>
      </w:r>
      <w:bookmarkEnd w:id="1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装置设计工况下主要运行参数</w:t>
      </w:r>
    </w:p>
    <w:tbl>
      <w:tblPr>
        <w:tblStyle w:val="1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6222"/>
      </w:tblGrid>
      <w:tr w14:paraId="03C08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074" w:type="dxa"/>
          </w:tcPr>
          <w:p w14:paraId="69C819BC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项目</w:t>
            </w:r>
          </w:p>
        </w:tc>
        <w:tc>
          <w:tcPr>
            <w:tcW w:w="6222" w:type="dxa"/>
          </w:tcPr>
          <w:p w14:paraId="3C9037FC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说明</w:t>
            </w:r>
          </w:p>
        </w:tc>
      </w:tr>
      <w:tr w14:paraId="42A97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</w:tcPr>
          <w:p w14:paraId="0D04F243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原料组成</w:t>
            </w:r>
          </w:p>
        </w:tc>
        <w:tc>
          <w:tcPr>
            <w:tcW w:w="6222" w:type="dxa"/>
          </w:tcPr>
          <w:p w14:paraId="11CEB95A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(NH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bscript"/>
              </w:rPr>
              <w:t>4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bscript"/>
              </w:rPr>
              <w:t>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SO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bscript"/>
              </w:rPr>
              <w:t>4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38.0%wt，H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bscript"/>
              </w:rPr>
              <w:t>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O 43.6%wt，有机重组分（C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bscript"/>
              </w:rPr>
              <w:t>6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）18.4%wt</w:t>
            </w:r>
          </w:p>
        </w:tc>
      </w:tr>
      <w:tr w14:paraId="59354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</w:tcPr>
          <w:p w14:paraId="79476762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高温裂解系统</w:t>
            </w:r>
          </w:p>
        </w:tc>
        <w:tc>
          <w:tcPr>
            <w:tcW w:w="6222" w:type="dxa"/>
          </w:tcPr>
          <w:p w14:paraId="43561A21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预热空气：250℃，炉尾温度：1085℃，炉尾压力：-200 Pa</w:t>
            </w:r>
          </w:p>
        </w:tc>
      </w:tr>
      <w:tr w14:paraId="1A1A2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</w:tcPr>
          <w:p w14:paraId="6B77B557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余热回收系统</w:t>
            </w:r>
          </w:p>
        </w:tc>
        <w:tc>
          <w:tcPr>
            <w:tcW w:w="6222" w:type="dxa"/>
          </w:tcPr>
          <w:p w14:paraId="6A74B394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火管锅炉，产高压蒸汽4.2 MPaG, 390℃</w:t>
            </w:r>
          </w:p>
        </w:tc>
      </w:tr>
      <w:tr w14:paraId="2D2EA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</w:tcPr>
          <w:p w14:paraId="7772422A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气体净化</w:t>
            </w:r>
          </w:p>
        </w:tc>
        <w:tc>
          <w:tcPr>
            <w:tcW w:w="6222" w:type="dxa"/>
          </w:tcPr>
          <w:p w14:paraId="756134AC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文丘里急冷 + 气体冷却塔 + 湿式静电除雾器，气体降温至18℃</w:t>
            </w:r>
          </w:p>
        </w:tc>
      </w:tr>
      <w:tr w14:paraId="3646C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</w:tcPr>
          <w:p w14:paraId="72EC6CF5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气体干燥</w:t>
            </w:r>
          </w:p>
        </w:tc>
        <w:tc>
          <w:tcPr>
            <w:tcW w:w="6222" w:type="dxa"/>
          </w:tcPr>
          <w:p w14:paraId="731CE33E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干燥塔循环酸：96.0%wt, 60℃</w:t>
            </w:r>
          </w:p>
        </w:tc>
      </w:tr>
      <w:tr w14:paraId="2AFD0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</w:tcPr>
          <w:p w14:paraId="54184797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转化吸收</w:t>
            </w:r>
          </w:p>
        </w:tc>
        <w:tc>
          <w:tcPr>
            <w:tcW w:w="6222" w:type="dxa"/>
          </w:tcPr>
          <w:p w14:paraId="427F5C19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一转一吸，吸收塔循环酸：98.0%wt,75℃，总转化率：97.8%</w:t>
            </w:r>
          </w:p>
        </w:tc>
      </w:tr>
    </w:tbl>
    <w:p w14:paraId="48425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该SAR装置尾气污染物的排放限值需要同时满足GB 26132-2010《硫酸工业污染物排放标准》，GB 31571-2015《石油化学工业污染物排放标准》及山东省DB 37/2376-2019《区域性大气污染物综合排放标准》，最终环评要求本装置SO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排放浓度≤35mg/Nm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, NOx（以NO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计）排放浓度≤50mg/Nm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（基准氧含量3%）。</w:t>
      </w:r>
    </w:p>
    <w:p w14:paraId="34F454B4">
      <w:pPr>
        <w:pStyle w:val="3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200"/>
        <w:textAlignment w:val="auto"/>
        <w:outlineLvl w:val="0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2 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脱硫系统设计</w:t>
      </w:r>
    </w:p>
    <w:p w14:paraId="1C625E5A">
      <w:pPr>
        <w:pStyle w:val="3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200"/>
        <w:textAlignment w:val="auto"/>
        <w:outlineLvl w:val="0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2.1 SO</w:t>
      </w:r>
      <w:r>
        <w:rPr>
          <w:rFonts w:hint="eastAsia" w:ascii="宋体" w:hAnsi="宋体" w:eastAsia="宋体" w:cs="宋体"/>
          <w:b/>
          <w:bCs/>
          <w:sz w:val="21"/>
          <w:szCs w:val="21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污染物来源</w:t>
      </w:r>
    </w:p>
    <w:p w14:paraId="04CA5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SAR装置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采用</w:t>
      </w:r>
      <w:r>
        <w:rPr>
          <w:rFonts w:hint="eastAsia" w:ascii="宋体" w:hAnsi="宋体" w:eastAsia="宋体" w:cs="宋体"/>
          <w:sz w:val="21"/>
          <w:szCs w:val="21"/>
        </w:rPr>
        <w:t>高温裂解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工艺，</w:t>
      </w:r>
      <w:r>
        <w:rPr>
          <w:rFonts w:hint="eastAsia" w:ascii="宋体" w:hAnsi="宋体" w:eastAsia="宋体" w:cs="宋体"/>
          <w:sz w:val="21"/>
          <w:szCs w:val="21"/>
        </w:rPr>
        <w:t>将硫酸铵废液分解为含SO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的原料气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该</w:t>
      </w:r>
      <w:r>
        <w:rPr>
          <w:rFonts w:hint="eastAsia" w:ascii="宋体" w:hAnsi="宋体" w:eastAsia="宋体" w:cs="宋体"/>
          <w:sz w:val="21"/>
          <w:szCs w:val="21"/>
        </w:rPr>
        <w:t>气体依次经过净化，干燥后进入转化吸收工序。装置进入转化器一段的SO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浓度约为3%(mol%)，采用一转一吸流程，SO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总转化率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为</w:t>
      </w:r>
      <w:r>
        <w:rPr>
          <w:rFonts w:hint="eastAsia" w:ascii="宋体" w:hAnsi="宋体" w:eastAsia="宋体" w:cs="宋体"/>
          <w:sz w:val="21"/>
          <w:szCs w:val="21"/>
        </w:rPr>
        <w:t>97.8%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>经强酸吸收塔后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工艺气体中SO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浓度高达2000 mg/Nm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,远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超</w:t>
      </w:r>
      <w:r>
        <w:rPr>
          <w:rFonts w:hint="eastAsia" w:ascii="宋体" w:hAnsi="宋体" w:eastAsia="宋体" w:cs="宋体"/>
          <w:sz w:val="21"/>
          <w:szCs w:val="21"/>
        </w:rPr>
        <w:t>环保要求的排放浓度≤35 mg/Nm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 w14:paraId="6197E4CF">
      <w:pPr>
        <w:pStyle w:val="3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200"/>
        <w:textAlignment w:val="auto"/>
        <w:outlineLvl w:val="0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2.2 脱硫工艺选择</w:t>
      </w:r>
    </w:p>
    <w:p w14:paraId="1B31CB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硫酸装置配套的湿法脱硫工艺有石灰石-石膏法、氨法、钠法及过氧化氢法等。针对本SAR装置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的特点，</w:t>
      </w:r>
      <w:r>
        <w:rPr>
          <w:rFonts w:hint="eastAsia" w:ascii="宋体" w:hAnsi="宋体" w:eastAsia="宋体" w:cs="宋体"/>
          <w:sz w:val="21"/>
          <w:szCs w:val="21"/>
        </w:rPr>
        <w:t>选择过氧化氢法脱硫工艺，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主要</w:t>
      </w:r>
      <w:r>
        <w:rPr>
          <w:rFonts w:hint="eastAsia" w:ascii="宋体" w:hAnsi="宋体" w:eastAsia="宋体" w:cs="宋体"/>
          <w:sz w:val="21"/>
          <w:szCs w:val="21"/>
        </w:rPr>
        <w:t>原由如下：</w:t>
      </w:r>
    </w:p>
    <w:p w14:paraId="60462EE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无其他副产物，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不产生</w:t>
      </w:r>
      <w:r>
        <w:rPr>
          <w:rFonts w:hint="eastAsia" w:ascii="宋体" w:hAnsi="宋体" w:eastAsia="宋体" w:cs="宋体"/>
          <w:sz w:val="21"/>
          <w:szCs w:val="21"/>
        </w:rPr>
        <w:t>二次污染物。</w:t>
      </w:r>
    </w:p>
    <w:p w14:paraId="7F82DEB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副产物不会堵塞设备，保障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装置</w:t>
      </w:r>
      <w:r>
        <w:rPr>
          <w:rFonts w:hint="eastAsia" w:ascii="宋体" w:hAnsi="宋体" w:eastAsia="宋体" w:cs="宋体"/>
          <w:sz w:val="21"/>
          <w:szCs w:val="21"/>
        </w:rPr>
        <w:t>全周期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稳定</w:t>
      </w:r>
      <w:r>
        <w:rPr>
          <w:rFonts w:hint="eastAsia" w:ascii="宋体" w:hAnsi="宋体" w:eastAsia="宋体" w:cs="宋体"/>
          <w:sz w:val="21"/>
          <w:szCs w:val="21"/>
        </w:rPr>
        <w:t>运行。</w:t>
      </w:r>
    </w:p>
    <w:p w14:paraId="5AA7CBA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生成</w:t>
      </w:r>
      <w:r>
        <w:rPr>
          <w:rFonts w:hint="eastAsia" w:ascii="宋体" w:hAnsi="宋体" w:eastAsia="宋体" w:cs="宋体"/>
          <w:sz w:val="21"/>
          <w:szCs w:val="21"/>
        </w:rPr>
        <w:t>的稀硫酸可回用至吸收工序，提供硫回收率。</w:t>
      </w:r>
    </w:p>
    <w:p w14:paraId="723DB5F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全厂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已</w:t>
      </w:r>
      <w:r>
        <w:rPr>
          <w:rFonts w:hint="eastAsia" w:ascii="宋体" w:hAnsi="宋体" w:eastAsia="宋体" w:cs="宋体"/>
          <w:sz w:val="21"/>
          <w:szCs w:val="21"/>
        </w:rPr>
        <w:t>建有过氧化氢装置，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可大幅降低</w:t>
      </w:r>
      <w:r>
        <w:rPr>
          <w:rFonts w:hint="eastAsia" w:ascii="宋体" w:hAnsi="宋体" w:eastAsia="宋体" w:cs="宋体"/>
          <w:sz w:val="21"/>
          <w:szCs w:val="21"/>
        </w:rPr>
        <w:t>操作成本。</w:t>
      </w:r>
    </w:p>
    <w:p w14:paraId="4479AF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主要工艺原理：</w:t>
      </w:r>
      <w:r>
        <w:rPr>
          <w:rFonts w:hint="eastAsia" w:ascii="宋体" w:hAnsi="宋体" w:eastAsia="宋体" w:cs="宋体"/>
          <w:sz w:val="21"/>
          <w:szCs w:val="21"/>
        </w:rPr>
        <w:t>来自强酸吸收塔顶部的工艺气体，自下而上流经脱硫塔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>脱硫塔中设有填料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层，使</w:t>
      </w:r>
      <w:r>
        <w:rPr>
          <w:rFonts w:hint="eastAsia" w:ascii="宋体" w:hAnsi="宋体" w:eastAsia="宋体" w:cs="宋体"/>
          <w:sz w:val="21"/>
          <w:szCs w:val="21"/>
        </w:rPr>
        <w:t>气液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两相</w:t>
      </w:r>
      <w:r>
        <w:rPr>
          <w:rFonts w:hint="eastAsia" w:ascii="宋体" w:hAnsi="宋体" w:eastAsia="宋体" w:cs="宋体"/>
          <w:sz w:val="21"/>
          <w:szCs w:val="21"/>
        </w:rPr>
        <w:t>充分接触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>气相中的SO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溶解于液相中，生成亚硫酸，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并</w:t>
      </w:r>
      <w:r>
        <w:rPr>
          <w:rFonts w:hint="eastAsia" w:ascii="宋体" w:hAnsi="宋体" w:eastAsia="宋体" w:cs="宋体"/>
          <w:sz w:val="21"/>
          <w:szCs w:val="21"/>
        </w:rPr>
        <w:t>在过氧化氢的强氧化性作用下进一步反应生成硫酸和水。净化后的工艺气体经纤维除雾器除去夹带酸雾后，通过烟囱达标放空。其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主要</w:t>
      </w:r>
      <w:r>
        <w:rPr>
          <w:rFonts w:hint="eastAsia" w:ascii="宋体" w:hAnsi="宋体" w:eastAsia="宋体" w:cs="宋体"/>
          <w:sz w:val="21"/>
          <w:szCs w:val="21"/>
        </w:rPr>
        <w:t>反应方程式为：</w:t>
      </w:r>
    </w:p>
    <w:p w14:paraId="0B47D5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SO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 xml:space="preserve"> + H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O → H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SO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3</w:t>
      </w:r>
    </w:p>
    <w:p w14:paraId="5DE1DA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H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SO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 xml:space="preserve"> + H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 xml:space="preserve"> → H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SO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 xml:space="preserve"> +H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O</w:t>
      </w:r>
    </w:p>
    <w:p w14:paraId="3C82E0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03F6E919">
      <w:pPr>
        <w:pStyle w:val="3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200"/>
        <w:textAlignment w:val="auto"/>
        <w:outlineLvl w:val="0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2.3 脱硫系统工程设计</w:t>
      </w:r>
    </w:p>
    <w:p w14:paraId="32592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（1）工艺流程描述</w:t>
      </w:r>
    </w:p>
    <w:p w14:paraId="006B2FE1">
      <w:pPr>
        <w:keepNext w:val="0"/>
        <w:keepLines w:val="0"/>
        <w:pageBreakBefore w:val="0"/>
        <w:widowControl w:val="0"/>
        <w:tabs>
          <w:tab w:val="left" w:pos="7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来自吸收塔含SO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气体自下而上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进入脱硫塔，在填料层</w:t>
      </w:r>
      <w:r>
        <w:rPr>
          <w:rFonts w:hint="eastAsia" w:ascii="宋体" w:hAnsi="宋体" w:eastAsia="宋体" w:cs="宋体"/>
          <w:sz w:val="21"/>
          <w:szCs w:val="21"/>
        </w:rPr>
        <w:t>与脱硫液逆向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充分</w:t>
      </w:r>
      <w:r>
        <w:rPr>
          <w:rFonts w:hint="eastAsia" w:ascii="宋体" w:hAnsi="宋体" w:eastAsia="宋体" w:cs="宋体"/>
          <w:sz w:val="21"/>
          <w:szCs w:val="21"/>
        </w:rPr>
        <w:t>接触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>气态SO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被脱硫液吸收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并被过氧化氢氧化生成硫酸。在此过程中气体夹带的酸雾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经</w:t>
      </w:r>
      <w:r>
        <w:rPr>
          <w:rFonts w:hint="eastAsia" w:ascii="宋体" w:hAnsi="宋体" w:eastAsia="宋体" w:cs="宋体"/>
          <w:sz w:val="21"/>
          <w:szCs w:val="21"/>
        </w:rPr>
        <w:t>纤维除雾器拦截脱除后，进入烟囱高空达标排放。</w:t>
      </w:r>
    </w:p>
    <w:p w14:paraId="2178FD23">
      <w:pPr>
        <w:keepNext w:val="0"/>
        <w:keepLines w:val="0"/>
        <w:pageBreakBefore w:val="0"/>
        <w:widowControl w:val="0"/>
        <w:tabs>
          <w:tab w:val="left" w:pos="7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27.5%wt过氧化氢加入量由脱硫塔进口气相中SO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浓度控制。脱盐水的加入量由循环脱硫液中稀硫酸浓度控制。脱硫塔的液位由外排至吸收塔泵槽的稀硫酸流量控制。具体工艺流程详见图2。</w:t>
      </w:r>
    </w:p>
    <w:p w14:paraId="7B26D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center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3743960" cy="3183890"/>
            <wp:effectExtent l="0" t="0" r="8890" b="16510"/>
            <wp:docPr id="2" name="图片 2" descr="脱硫流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脱硫流程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47166" cy="3186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AE39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脱硫塔，2-非金属填料，3-纤维除雾器，4-烟囱，5-循环泵</w:t>
      </w:r>
    </w:p>
    <w:p w14:paraId="086464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图2 过氧化氢脱硫工艺流程</w:t>
      </w:r>
    </w:p>
    <w:p w14:paraId="34695F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（2）循环液酸浓及温度</w:t>
      </w:r>
    </w:p>
    <w:p w14:paraId="49738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在脱硫过程中，水与过氧化氢为互溶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>液相中过氧化氢与亚硫酸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</w:t>
      </w:r>
      <w:r>
        <w:rPr>
          <w:rFonts w:hint="eastAsia" w:ascii="宋体" w:hAnsi="宋体" w:eastAsia="宋体" w:cs="宋体"/>
          <w:sz w:val="21"/>
          <w:szCs w:val="21"/>
        </w:rPr>
        <w:t>氧化反应极为迅速，气态SO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  <w:vertAlign w:val="baseline"/>
          <w:lang w:val="en-US" w:eastAsia="zh-CN"/>
        </w:rPr>
        <w:t>被</w:t>
      </w:r>
      <w:r>
        <w:rPr>
          <w:rFonts w:hint="eastAsia" w:ascii="宋体" w:hAnsi="宋体" w:eastAsia="宋体" w:cs="宋体"/>
          <w:sz w:val="21"/>
          <w:szCs w:val="21"/>
        </w:rPr>
        <w:t>循环液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吸收</w:t>
      </w:r>
      <w:r>
        <w:rPr>
          <w:rFonts w:hint="eastAsia" w:ascii="宋体" w:hAnsi="宋体" w:eastAsia="宋体" w:cs="宋体"/>
          <w:sz w:val="21"/>
          <w:szCs w:val="21"/>
        </w:rPr>
        <w:t>的速率决定了整个脱硫过程效率。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根据《硫酸工艺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设计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手册》</w:t>
      </w:r>
      <w:r>
        <w:rPr>
          <w:rFonts w:hint="eastAsia" w:ascii="宋体" w:hAnsi="宋体" w:eastAsia="宋体" w:cs="宋体"/>
          <w:color w:val="auto"/>
          <w:sz w:val="21"/>
          <w:szCs w:val="21"/>
          <w:vertAlign w:val="superscript"/>
          <w:lang w:val="en-US" w:eastAsia="zh-CN"/>
        </w:rPr>
        <w:t>[1]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，当稀硫酸循环液浓度越低，温度越低，SO</w:t>
      </w:r>
      <w:r>
        <w:rPr>
          <w:rFonts w:hint="eastAsia" w:ascii="宋体" w:hAnsi="宋体" w:eastAsia="宋体" w:cs="宋体"/>
          <w:color w:val="auto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的溶解度越高，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越</w:t>
      </w:r>
      <w:r>
        <w:rPr>
          <w:rFonts w:hint="eastAsia" w:ascii="宋体" w:hAnsi="宋体" w:eastAsia="宋体" w:cs="宋体"/>
          <w:sz w:val="21"/>
          <w:szCs w:val="21"/>
        </w:rPr>
        <w:t>有利于脱硫过程。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然而，</w:t>
      </w:r>
      <w:r>
        <w:rPr>
          <w:rFonts w:hint="eastAsia" w:ascii="宋体" w:hAnsi="宋体" w:eastAsia="宋体" w:cs="宋体"/>
          <w:sz w:val="21"/>
          <w:szCs w:val="21"/>
        </w:rPr>
        <w:t>由于脱硫塔产生的稀硫酸需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回用</w:t>
      </w:r>
      <w:r>
        <w:rPr>
          <w:rFonts w:hint="eastAsia" w:ascii="宋体" w:hAnsi="宋体" w:eastAsia="宋体" w:cs="宋体"/>
          <w:sz w:val="21"/>
          <w:szCs w:val="21"/>
        </w:rPr>
        <w:t>至吸收泵槽，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受</w:t>
      </w:r>
      <w:r>
        <w:rPr>
          <w:rFonts w:hint="eastAsia" w:ascii="宋体" w:hAnsi="宋体" w:eastAsia="宋体" w:cs="宋体"/>
          <w:sz w:val="21"/>
          <w:szCs w:val="21"/>
        </w:rPr>
        <w:t>装置水平衡的制约，将循环液中硫酸浓度控制在20%~40%wt。</w:t>
      </w:r>
    </w:p>
    <w:p w14:paraId="7040A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来自强酸吸收塔的气体温度为75℃，考虑到设备投资的经济性，采用绝热饱和冷却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方式</w:t>
      </w:r>
      <w:r>
        <w:rPr>
          <w:rFonts w:hint="eastAsia" w:ascii="宋体" w:hAnsi="宋体" w:eastAsia="宋体" w:cs="宋体"/>
          <w:sz w:val="21"/>
          <w:szCs w:val="21"/>
        </w:rPr>
        <w:t>，循环液不再设置冷却器降温。循环液的温度及脱硫塔出口烟气温度控制在25~40℃。</w:t>
      </w:r>
    </w:p>
    <w:p w14:paraId="7BB337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（3）过氧化氢加入量</w:t>
      </w:r>
    </w:p>
    <w:p w14:paraId="2563B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在脱硫过程中，27.5%wt过氧化氢溶液的加入量根据进脱硫塔上游气体中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SO</w:t>
      </w:r>
      <w:r>
        <w:rPr>
          <w:rFonts w:hint="eastAsia" w:ascii="宋体" w:hAnsi="宋体" w:eastAsia="宋体" w:cs="宋体"/>
          <w:color w:val="auto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的浓度确定。刘红梅等发表的文献《过氧化氢脱硫工艺技术的研究》</w:t>
      </w:r>
      <w:r>
        <w:rPr>
          <w:rFonts w:hint="eastAsia" w:ascii="宋体" w:hAnsi="宋体" w:eastAsia="宋体" w:cs="宋体"/>
          <w:color w:val="auto"/>
          <w:sz w:val="21"/>
          <w:szCs w:val="21"/>
          <w:vertAlign w:val="superscript"/>
          <w:lang w:val="en-US" w:eastAsia="zh-CN"/>
        </w:rPr>
        <w:t>[2]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中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指出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，当过氧化器浓度在0.25%wt时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具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有较好的脱硫效果。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据此，将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脱硫塔循环</w:t>
      </w:r>
      <w:r>
        <w:rPr>
          <w:rFonts w:hint="eastAsia" w:ascii="宋体" w:hAnsi="宋体" w:eastAsia="宋体" w:cs="宋体"/>
          <w:sz w:val="21"/>
          <w:szCs w:val="21"/>
        </w:rPr>
        <w:t>液中过氧化氢浓度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控制</w:t>
      </w:r>
      <w:r>
        <w:rPr>
          <w:rFonts w:hint="eastAsia" w:ascii="宋体" w:hAnsi="宋体" w:eastAsia="宋体" w:cs="宋体"/>
          <w:sz w:val="21"/>
          <w:szCs w:val="21"/>
        </w:rPr>
        <w:t>在0.1~0.3%wt，并在循环管线上设置ORP分析仪监测液相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</w:t>
      </w:r>
      <w:r>
        <w:rPr>
          <w:rFonts w:hint="eastAsia" w:ascii="宋体" w:hAnsi="宋体" w:eastAsia="宋体" w:cs="宋体"/>
          <w:sz w:val="21"/>
          <w:szCs w:val="21"/>
        </w:rPr>
        <w:t>氧化性。</w:t>
      </w:r>
    </w:p>
    <w:p w14:paraId="7C9439DE">
      <w:pPr>
        <w:keepNext w:val="0"/>
        <w:keepLines w:val="0"/>
        <w:pageBreakBefore w:val="0"/>
        <w:widowControl w:val="0"/>
        <w:tabs>
          <w:tab w:val="left" w:pos="37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（4）酸雾的控制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</w:p>
    <w:p w14:paraId="5D7CF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sz w:val="21"/>
          <w:szCs w:val="21"/>
        </w:rPr>
        <w:t>脱硫塔为填料塔，气相由下而上在填料中逆向与循环液接触，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气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体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上升的过程中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不可避免的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会夹带酸雾，导致外排尾气中酸雾超标</w:t>
      </w:r>
      <w:r>
        <w:rPr>
          <w:rFonts w:hint="eastAsia" w:ascii="宋体" w:hAnsi="宋体" w:eastAsia="宋体" w:cs="宋体"/>
          <w:color w:val="auto"/>
          <w:sz w:val="21"/>
          <w:szCs w:val="21"/>
          <w:vertAlign w:val="superscript"/>
          <w:lang w:val="en-US" w:eastAsia="zh-CN"/>
        </w:rPr>
        <w:t>[3]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。本脱硫系统</w:t>
      </w:r>
      <w:r>
        <w:rPr>
          <w:rFonts w:hint="eastAsia" w:ascii="宋体" w:hAnsi="宋体" w:eastAsia="宋体" w:cs="宋体"/>
          <w:sz w:val="21"/>
          <w:szCs w:val="21"/>
        </w:rPr>
        <w:t>采用过氧化氢工艺，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1"/>
          <w:szCs w:val="21"/>
        </w:rPr>
        <w:t>在极端工况下过氧化氢加入量过多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并</w:t>
      </w:r>
      <w:r>
        <w:rPr>
          <w:rFonts w:hint="eastAsia" w:ascii="宋体" w:hAnsi="宋体" w:eastAsia="宋体" w:cs="宋体"/>
          <w:sz w:val="21"/>
          <w:szCs w:val="21"/>
        </w:rPr>
        <w:t>分解出大量氧气，采用湿式静电除雾器存在一定的安全风险。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因此，</w:t>
      </w:r>
      <w:r>
        <w:rPr>
          <w:rFonts w:hint="eastAsia" w:ascii="宋体" w:hAnsi="宋体" w:eastAsia="宋体" w:cs="宋体"/>
          <w:sz w:val="21"/>
          <w:szCs w:val="21"/>
        </w:rPr>
        <w:t>在脱硫塔下游设置纤维除雾器，利用布朗运动原理拦截绝大多数酸雾，脱除效率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可达</w:t>
      </w:r>
      <w:r>
        <w:rPr>
          <w:rFonts w:hint="eastAsia" w:ascii="宋体" w:hAnsi="宋体" w:eastAsia="宋体" w:cs="宋体"/>
          <w:sz w:val="21"/>
          <w:szCs w:val="21"/>
        </w:rPr>
        <w:t>99%，达到排放要求≤5 mg/Nm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3</w:t>
      </w:r>
      <w:r>
        <w:rPr>
          <w:rFonts w:hint="eastAsia" w:ascii="宋体" w:hAnsi="宋体" w:eastAsia="宋体" w:cs="宋体"/>
          <w:sz w:val="21"/>
          <w:szCs w:val="21"/>
          <w:vertAlign w:val="baseline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  <w:vertAlign w:val="baseline"/>
          <w:lang w:val="en-US" w:eastAsia="zh-CN"/>
        </w:rPr>
        <w:t>满足环保要求</w:t>
      </w:r>
      <w:r>
        <w:rPr>
          <w:rFonts w:hint="eastAsia" w:ascii="宋体" w:hAnsi="宋体" w:eastAsia="宋体" w:cs="宋体"/>
          <w:sz w:val="21"/>
          <w:szCs w:val="21"/>
          <w:vertAlign w:val="baseline"/>
        </w:rPr>
        <w:t>。</w:t>
      </w:r>
    </w:p>
    <w:p w14:paraId="1DB81B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（5）设备材质的选择</w:t>
      </w:r>
    </w:p>
    <w:p w14:paraId="3B0238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脱硫循环液为20%~40%wt稀硫酸液，具有强腐蚀性，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大多数</w:t>
      </w:r>
      <w:r>
        <w:rPr>
          <w:rFonts w:hint="eastAsia" w:ascii="宋体" w:hAnsi="宋体" w:eastAsia="宋体" w:cs="宋体"/>
          <w:sz w:val="21"/>
          <w:szCs w:val="21"/>
        </w:rPr>
        <w:t>金属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材料</w:t>
      </w:r>
      <w:r>
        <w:rPr>
          <w:rFonts w:hint="eastAsia" w:ascii="宋体" w:hAnsi="宋体" w:eastAsia="宋体" w:cs="宋体"/>
          <w:sz w:val="21"/>
          <w:szCs w:val="21"/>
        </w:rPr>
        <w:t>不适用。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综合</w:t>
      </w:r>
      <w:r>
        <w:rPr>
          <w:rFonts w:hint="eastAsia" w:ascii="宋体" w:hAnsi="宋体" w:eastAsia="宋体" w:cs="宋体"/>
          <w:sz w:val="21"/>
          <w:szCs w:val="21"/>
        </w:rPr>
        <w:t>考虑脱硫系统的操作条件及投资经济性，设备中与过流介质接触的材质选用非金属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材料</w:t>
      </w:r>
      <w:r>
        <w:rPr>
          <w:rFonts w:hint="eastAsia" w:ascii="宋体" w:hAnsi="宋体" w:eastAsia="宋体" w:cs="宋体"/>
          <w:sz w:val="21"/>
          <w:szCs w:val="21"/>
        </w:rPr>
        <w:t>。脱硫塔及其内件采用FRP材质，树脂选用酚醛环氧乙烯基类。塔填料选用50mm 高流环填料，材质为CPVC。脱硫液循环泵选用超高分子量聚乙烯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</w:rPr>
        <w:t>UHMW-PE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z w:val="21"/>
          <w:szCs w:val="21"/>
        </w:rPr>
        <w:t>离心泵。</w:t>
      </w:r>
    </w:p>
    <w:p w14:paraId="5F4861D6">
      <w:pPr>
        <w:pStyle w:val="3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200"/>
        <w:textAlignment w:val="auto"/>
        <w:outlineLvl w:val="0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2.4 运行情况</w:t>
      </w:r>
    </w:p>
    <w:p w14:paraId="76DE3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脱硫系统实际运行情况详见表2：</w:t>
      </w:r>
    </w:p>
    <w:p w14:paraId="45CFF6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表2 过氧化氢脱硫系统运行情况</w:t>
      </w:r>
    </w:p>
    <w:tbl>
      <w:tblPr>
        <w:tblStyle w:val="1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039"/>
        <w:gridCol w:w="1142"/>
        <w:gridCol w:w="1056"/>
        <w:gridCol w:w="959"/>
        <w:gridCol w:w="704"/>
        <w:gridCol w:w="676"/>
        <w:gridCol w:w="761"/>
        <w:gridCol w:w="738"/>
      </w:tblGrid>
      <w:tr w14:paraId="78CCA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183" w:type="dxa"/>
            <w:vAlign w:val="center"/>
          </w:tcPr>
          <w:p w14:paraId="562C4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日期</w:t>
            </w:r>
          </w:p>
        </w:tc>
        <w:tc>
          <w:tcPr>
            <w:tcW w:w="1039" w:type="dxa"/>
            <w:vAlign w:val="center"/>
          </w:tcPr>
          <w:p w14:paraId="7BFF0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进口气体流量 Nm3/h</w:t>
            </w:r>
          </w:p>
        </w:tc>
        <w:tc>
          <w:tcPr>
            <w:tcW w:w="1142" w:type="dxa"/>
            <w:vAlign w:val="center"/>
          </w:tcPr>
          <w:p w14:paraId="01261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进口SO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bscript"/>
              </w:rPr>
              <w:t>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浓度 mg/Nm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56" w:type="dxa"/>
            <w:vAlign w:val="center"/>
          </w:tcPr>
          <w:p w14:paraId="2CB49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出口SO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bscript"/>
              </w:rPr>
              <w:t>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浓度 mg/Nm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59" w:type="dxa"/>
            <w:vAlign w:val="center"/>
          </w:tcPr>
          <w:p w14:paraId="2636A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硫酸浓度 wt%</w:t>
            </w:r>
          </w:p>
        </w:tc>
        <w:tc>
          <w:tcPr>
            <w:tcW w:w="704" w:type="dxa"/>
            <w:vAlign w:val="center"/>
          </w:tcPr>
          <w:p w14:paraId="18F17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ORP mV</w:t>
            </w:r>
          </w:p>
        </w:tc>
        <w:tc>
          <w:tcPr>
            <w:tcW w:w="676" w:type="dxa"/>
            <w:vAlign w:val="center"/>
          </w:tcPr>
          <w:p w14:paraId="0295C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温度</w:t>
            </w:r>
          </w:p>
          <w:p w14:paraId="47283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℃</w:t>
            </w:r>
          </w:p>
        </w:tc>
        <w:tc>
          <w:tcPr>
            <w:tcW w:w="761" w:type="dxa"/>
            <w:vAlign w:val="center"/>
          </w:tcPr>
          <w:p w14:paraId="6C128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过氧化氢kg/h</w:t>
            </w:r>
          </w:p>
        </w:tc>
        <w:tc>
          <w:tcPr>
            <w:tcW w:w="738" w:type="dxa"/>
            <w:vAlign w:val="center"/>
          </w:tcPr>
          <w:p w14:paraId="1EB3F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脱盐水 kg/h</w:t>
            </w:r>
          </w:p>
        </w:tc>
      </w:tr>
      <w:tr w14:paraId="6759D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183" w:type="dxa"/>
            <w:vAlign w:val="center"/>
          </w:tcPr>
          <w:p w14:paraId="5F569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2025.12.11</w:t>
            </w:r>
          </w:p>
        </w:tc>
        <w:tc>
          <w:tcPr>
            <w:tcW w:w="1039" w:type="dxa"/>
            <w:vAlign w:val="center"/>
          </w:tcPr>
          <w:p w14:paraId="1782D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16,060</w:t>
            </w:r>
          </w:p>
        </w:tc>
        <w:tc>
          <w:tcPr>
            <w:tcW w:w="1142" w:type="dxa"/>
            <w:vAlign w:val="center"/>
          </w:tcPr>
          <w:p w14:paraId="11AA6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199</w:t>
            </w:r>
          </w:p>
        </w:tc>
        <w:tc>
          <w:tcPr>
            <w:tcW w:w="1056" w:type="dxa"/>
            <w:vAlign w:val="center"/>
          </w:tcPr>
          <w:p w14:paraId="51EF4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0.0</w:t>
            </w:r>
          </w:p>
        </w:tc>
        <w:tc>
          <w:tcPr>
            <w:tcW w:w="959" w:type="dxa"/>
            <w:vAlign w:val="center"/>
          </w:tcPr>
          <w:p w14:paraId="63D0F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28.51</w:t>
            </w:r>
          </w:p>
        </w:tc>
        <w:tc>
          <w:tcPr>
            <w:tcW w:w="704" w:type="dxa"/>
            <w:vAlign w:val="center"/>
          </w:tcPr>
          <w:p w14:paraId="62848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733</w:t>
            </w:r>
          </w:p>
        </w:tc>
        <w:tc>
          <w:tcPr>
            <w:tcW w:w="676" w:type="dxa"/>
            <w:vAlign w:val="center"/>
          </w:tcPr>
          <w:p w14:paraId="11BEB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27.8</w:t>
            </w:r>
          </w:p>
        </w:tc>
        <w:tc>
          <w:tcPr>
            <w:tcW w:w="761" w:type="dxa"/>
            <w:vAlign w:val="center"/>
          </w:tcPr>
          <w:p w14:paraId="5C013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28.7</w:t>
            </w:r>
          </w:p>
        </w:tc>
        <w:tc>
          <w:tcPr>
            <w:tcW w:w="738" w:type="dxa"/>
            <w:vAlign w:val="center"/>
          </w:tcPr>
          <w:p w14:paraId="35BE7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0.51</w:t>
            </w:r>
          </w:p>
        </w:tc>
      </w:tr>
      <w:tr w14:paraId="40249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3" w:type="dxa"/>
            <w:vAlign w:val="center"/>
          </w:tcPr>
          <w:p w14:paraId="7CBEF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2026.01.18</w:t>
            </w:r>
          </w:p>
        </w:tc>
        <w:tc>
          <w:tcPr>
            <w:tcW w:w="1039" w:type="dxa"/>
            <w:vAlign w:val="center"/>
          </w:tcPr>
          <w:p w14:paraId="448C7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15,775</w:t>
            </w:r>
          </w:p>
        </w:tc>
        <w:tc>
          <w:tcPr>
            <w:tcW w:w="1142" w:type="dxa"/>
            <w:vAlign w:val="center"/>
          </w:tcPr>
          <w:p w14:paraId="5B3CF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235</w:t>
            </w:r>
          </w:p>
        </w:tc>
        <w:tc>
          <w:tcPr>
            <w:tcW w:w="1056" w:type="dxa"/>
            <w:vAlign w:val="center"/>
          </w:tcPr>
          <w:p w14:paraId="4CE16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0.0</w:t>
            </w:r>
          </w:p>
        </w:tc>
        <w:tc>
          <w:tcPr>
            <w:tcW w:w="959" w:type="dxa"/>
            <w:vAlign w:val="center"/>
          </w:tcPr>
          <w:p w14:paraId="7E6C5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31.82</w:t>
            </w:r>
          </w:p>
        </w:tc>
        <w:tc>
          <w:tcPr>
            <w:tcW w:w="704" w:type="dxa"/>
            <w:vAlign w:val="center"/>
          </w:tcPr>
          <w:p w14:paraId="1DAB9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725</w:t>
            </w:r>
          </w:p>
        </w:tc>
        <w:tc>
          <w:tcPr>
            <w:tcW w:w="676" w:type="dxa"/>
            <w:vAlign w:val="center"/>
          </w:tcPr>
          <w:p w14:paraId="5A52FB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28.9</w:t>
            </w:r>
          </w:p>
        </w:tc>
        <w:tc>
          <w:tcPr>
            <w:tcW w:w="761" w:type="dxa"/>
            <w:vAlign w:val="center"/>
          </w:tcPr>
          <w:p w14:paraId="3C820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24.3</w:t>
            </w:r>
          </w:p>
        </w:tc>
        <w:tc>
          <w:tcPr>
            <w:tcW w:w="738" w:type="dxa"/>
            <w:vAlign w:val="center"/>
          </w:tcPr>
          <w:p w14:paraId="6339E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0.27</w:t>
            </w:r>
          </w:p>
        </w:tc>
      </w:tr>
      <w:tr w14:paraId="6667B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3" w:type="dxa"/>
            <w:vAlign w:val="center"/>
          </w:tcPr>
          <w:p w14:paraId="56616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2026.03.19</w:t>
            </w:r>
          </w:p>
        </w:tc>
        <w:tc>
          <w:tcPr>
            <w:tcW w:w="1039" w:type="dxa"/>
            <w:vAlign w:val="center"/>
          </w:tcPr>
          <w:p w14:paraId="72729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24,116</w:t>
            </w:r>
          </w:p>
        </w:tc>
        <w:tc>
          <w:tcPr>
            <w:tcW w:w="1142" w:type="dxa"/>
            <w:vAlign w:val="center"/>
          </w:tcPr>
          <w:p w14:paraId="321E7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375</w:t>
            </w:r>
          </w:p>
        </w:tc>
        <w:tc>
          <w:tcPr>
            <w:tcW w:w="1056" w:type="dxa"/>
            <w:vAlign w:val="center"/>
          </w:tcPr>
          <w:p w14:paraId="557BA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0.0</w:t>
            </w:r>
          </w:p>
        </w:tc>
        <w:tc>
          <w:tcPr>
            <w:tcW w:w="959" w:type="dxa"/>
            <w:vAlign w:val="center"/>
          </w:tcPr>
          <w:p w14:paraId="048A6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27.38</w:t>
            </w:r>
          </w:p>
        </w:tc>
        <w:tc>
          <w:tcPr>
            <w:tcW w:w="704" w:type="dxa"/>
            <w:vAlign w:val="center"/>
          </w:tcPr>
          <w:p w14:paraId="4DDDC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720</w:t>
            </w:r>
          </w:p>
        </w:tc>
        <w:tc>
          <w:tcPr>
            <w:tcW w:w="676" w:type="dxa"/>
            <w:vAlign w:val="center"/>
          </w:tcPr>
          <w:p w14:paraId="517F3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29.8</w:t>
            </w:r>
          </w:p>
        </w:tc>
        <w:tc>
          <w:tcPr>
            <w:tcW w:w="761" w:type="dxa"/>
            <w:vAlign w:val="center"/>
          </w:tcPr>
          <w:p w14:paraId="18479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66.5</w:t>
            </w:r>
          </w:p>
        </w:tc>
        <w:tc>
          <w:tcPr>
            <w:tcW w:w="738" w:type="dxa"/>
            <w:vAlign w:val="center"/>
          </w:tcPr>
          <w:p w14:paraId="0E36C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0.73</w:t>
            </w:r>
          </w:p>
        </w:tc>
      </w:tr>
      <w:tr w14:paraId="7A12F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3" w:type="dxa"/>
            <w:vAlign w:val="center"/>
          </w:tcPr>
          <w:p w14:paraId="35168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2026.06.09</w:t>
            </w:r>
          </w:p>
        </w:tc>
        <w:tc>
          <w:tcPr>
            <w:tcW w:w="1039" w:type="dxa"/>
            <w:vAlign w:val="center"/>
          </w:tcPr>
          <w:p w14:paraId="3D1A2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23,170</w:t>
            </w:r>
          </w:p>
        </w:tc>
        <w:tc>
          <w:tcPr>
            <w:tcW w:w="1142" w:type="dxa"/>
            <w:vAlign w:val="center"/>
          </w:tcPr>
          <w:p w14:paraId="2F33C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502</w:t>
            </w:r>
          </w:p>
        </w:tc>
        <w:tc>
          <w:tcPr>
            <w:tcW w:w="1056" w:type="dxa"/>
            <w:vAlign w:val="center"/>
          </w:tcPr>
          <w:p w14:paraId="6FF136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0.2</w:t>
            </w:r>
          </w:p>
        </w:tc>
        <w:tc>
          <w:tcPr>
            <w:tcW w:w="959" w:type="dxa"/>
            <w:vAlign w:val="center"/>
          </w:tcPr>
          <w:p w14:paraId="13CBE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27.95</w:t>
            </w:r>
          </w:p>
        </w:tc>
        <w:tc>
          <w:tcPr>
            <w:tcW w:w="704" w:type="dxa"/>
            <w:vAlign w:val="center"/>
          </w:tcPr>
          <w:p w14:paraId="11C23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713</w:t>
            </w:r>
          </w:p>
        </w:tc>
        <w:tc>
          <w:tcPr>
            <w:tcW w:w="676" w:type="dxa"/>
            <w:vAlign w:val="center"/>
          </w:tcPr>
          <w:p w14:paraId="62853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30.1</w:t>
            </w:r>
          </w:p>
        </w:tc>
        <w:tc>
          <w:tcPr>
            <w:tcW w:w="761" w:type="dxa"/>
            <w:vAlign w:val="center"/>
          </w:tcPr>
          <w:p w14:paraId="2C96E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83.4</w:t>
            </w:r>
          </w:p>
        </w:tc>
        <w:tc>
          <w:tcPr>
            <w:tcW w:w="738" w:type="dxa"/>
            <w:vAlign w:val="center"/>
          </w:tcPr>
          <w:p w14:paraId="3578E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1.02</w:t>
            </w:r>
          </w:p>
        </w:tc>
      </w:tr>
    </w:tbl>
    <w:p w14:paraId="420B8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44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从表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1所示的</w:t>
      </w:r>
      <w:r>
        <w:rPr>
          <w:rFonts w:hint="eastAsia" w:ascii="宋体" w:hAnsi="宋体" w:eastAsia="宋体" w:cs="宋体"/>
          <w:sz w:val="21"/>
          <w:szCs w:val="21"/>
        </w:rPr>
        <w:t>脱硫系统运行工况可以看出，进入脱硫塔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的实际</w:t>
      </w:r>
      <w:r>
        <w:rPr>
          <w:rFonts w:hint="eastAsia" w:ascii="宋体" w:hAnsi="宋体" w:eastAsia="宋体" w:cs="宋体"/>
          <w:sz w:val="21"/>
          <w:szCs w:val="21"/>
        </w:rPr>
        <w:t>气体中SO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浓度远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低于</w:t>
      </w:r>
      <w:r>
        <w:rPr>
          <w:rFonts w:hint="eastAsia" w:ascii="宋体" w:hAnsi="宋体" w:eastAsia="宋体" w:cs="宋体"/>
          <w:sz w:val="21"/>
          <w:szCs w:val="21"/>
        </w:rPr>
        <w:t>设计工况的2000 mg/Nm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3</w:t>
      </w:r>
      <w:r>
        <w:rPr>
          <w:rFonts w:hint="eastAsia" w:ascii="宋体" w:hAnsi="宋体" w:eastAsia="宋体" w:cs="宋体"/>
          <w:sz w:val="21"/>
          <w:szCs w:val="21"/>
          <w:vertAlign w:val="baseline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>在排放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限制不变的条件</w:t>
      </w:r>
      <w:r>
        <w:rPr>
          <w:rFonts w:hint="eastAsia" w:ascii="宋体" w:hAnsi="宋体" w:eastAsia="宋体" w:cs="宋体"/>
          <w:sz w:val="21"/>
          <w:szCs w:val="21"/>
        </w:rPr>
        <w:t>下，脱硫系统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</w:t>
      </w:r>
      <w:r>
        <w:rPr>
          <w:rFonts w:hint="eastAsia" w:ascii="宋体" w:hAnsi="宋体" w:eastAsia="宋体" w:cs="宋体"/>
          <w:sz w:val="21"/>
          <w:szCs w:val="21"/>
        </w:rPr>
        <w:t>设计负荷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明显</w:t>
      </w:r>
      <w:r>
        <w:rPr>
          <w:rFonts w:hint="eastAsia" w:ascii="宋体" w:hAnsi="宋体" w:eastAsia="宋体" w:cs="宋体"/>
          <w:sz w:val="21"/>
          <w:szCs w:val="21"/>
        </w:rPr>
        <w:t>偏大，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导致</w:t>
      </w:r>
      <w:r>
        <w:rPr>
          <w:rFonts w:hint="eastAsia" w:ascii="宋体" w:hAnsi="宋体" w:eastAsia="宋体" w:cs="宋体"/>
          <w:sz w:val="21"/>
          <w:szCs w:val="21"/>
        </w:rPr>
        <w:t>塔出口SO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浓度过小甚至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无法检测出</w:t>
      </w:r>
      <w:r>
        <w:rPr>
          <w:rFonts w:hint="eastAsia" w:ascii="宋体" w:hAnsi="宋体" w:eastAsia="宋体" w:cs="宋体"/>
          <w:sz w:val="21"/>
          <w:szCs w:val="21"/>
        </w:rPr>
        <w:t>，但满足脱硫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要求</w:t>
      </w:r>
      <w:r>
        <w:rPr>
          <w:rFonts w:hint="eastAsia" w:ascii="宋体" w:hAnsi="宋体" w:eastAsia="宋体" w:cs="宋体"/>
          <w:sz w:val="21"/>
          <w:szCs w:val="21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且表现出较大的</w:t>
      </w:r>
      <w:r>
        <w:rPr>
          <w:rFonts w:hint="eastAsia" w:ascii="宋体" w:hAnsi="宋体" w:eastAsia="宋体" w:cs="宋体"/>
          <w:sz w:val="21"/>
          <w:szCs w:val="21"/>
        </w:rPr>
        <w:t>操作弹性。</w:t>
      </w:r>
    </w:p>
    <w:p w14:paraId="446AC2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44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运行期间，</w:t>
      </w:r>
      <w:r>
        <w:rPr>
          <w:rFonts w:hint="eastAsia" w:ascii="宋体" w:hAnsi="宋体" w:eastAsia="宋体" w:cs="宋体"/>
          <w:sz w:val="21"/>
          <w:szCs w:val="21"/>
        </w:rPr>
        <w:t>脱硫液中硫酸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浓度</w:t>
      </w:r>
      <w:r>
        <w:rPr>
          <w:rFonts w:hint="eastAsia" w:ascii="宋体" w:hAnsi="宋体" w:eastAsia="宋体" w:cs="宋体"/>
          <w:sz w:val="21"/>
          <w:szCs w:val="21"/>
        </w:rPr>
        <w:t>维持在25%~35%wt之间，操作温度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为常温</w:t>
      </w:r>
      <w:r>
        <w:rPr>
          <w:rFonts w:hint="eastAsia" w:ascii="宋体" w:hAnsi="宋体" w:eastAsia="宋体" w:cs="宋体"/>
          <w:sz w:val="21"/>
          <w:szCs w:val="21"/>
        </w:rPr>
        <w:t>，ORP维持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约700~800 </w:t>
      </w:r>
      <w:r>
        <w:rPr>
          <w:rFonts w:hint="eastAsia" w:ascii="宋体" w:hAnsi="宋体" w:eastAsia="宋体" w:cs="宋体"/>
          <w:sz w:val="21"/>
          <w:szCs w:val="21"/>
        </w:rPr>
        <w:t>mV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范围内</w:t>
      </w:r>
      <w:r>
        <w:rPr>
          <w:rFonts w:hint="eastAsia" w:ascii="宋体" w:hAnsi="宋体" w:eastAsia="宋体" w:cs="宋体"/>
          <w:sz w:val="21"/>
          <w:szCs w:val="21"/>
        </w:rPr>
        <w:t>,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确保</w:t>
      </w:r>
      <w:r>
        <w:rPr>
          <w:rFonts w:hint="eastAsia" w:ascii="宋体" w:hAnsi="宋体" w:eastAsia="宋体" w:cs="宋体"/>
          <w:sz w:val="21"/>
          <w:szCs w:val="21"/>
        </w:rPr>
        <w:t>脱硫液具有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良好的</w:t>
      </w:r>
      <w:r>
        <w:rPr>
          <w:rFonts w:hint="eastAsia" w:ascii="宋体" w:hAnsi="宋体" w:eastAsia="宋体" w:cs="宋体"/>
          <w:sz w:val="21"/>
          <w:szCs w:val="21"/>
        </w:rPr>
        <w:t>氧化性。随着进入脱硫塔气体流量及SO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浓度的增加，27.5%wt过氧化氢及脱盐水的加入量也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相应</w:t>
      </w:r>
      <w:r>
        <w:rPr>
          <w:rFonts w:hint="eastAsia" w:ascii="宋体" w:hAnsi="宋体" w:eastAsia="宋体" w:cs="宋体"/>
          <w:sz w:val="21"/>
          <w:szCs w:val="21"/>
        </w:rPr>
        <w:t>增加，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整体运行趋势</w:t>
      </w:r>
      <w:r>
        <w:rPr>
          <w:rFonts w:hint="eastAsia" w:ascii="宋体" w:hAnsi="宋体" w:eastAsia="宋体" w:cs="宋体"/>
          <w:sz w:val="21"/>
          <w:szCs w:val="21"/>
        </w:rPr>
        <w:t>符合设计逻辑。</w:t>
      </w:r>
    </w:p>
    <w:p w14:paraId="4FD76ADD">
      <w:pPr>
        <w:pStyle w:val="3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200"/>
        <w:textAlignment w:val="auto"/>
        <w:outlineLvl w:val="0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3 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脱硝系统设计</w:t>
      </w:r>
    </w:p>
    <w:p w14:paraId="162B75C8">
      <w:pPr>
        <w:pStyle w:val="3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200"/>
        <w:textAlignment w:val="auto"/>
        <w:outlineLvl w:val="0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3.1 NOx污染物的来源</w:t>
      </w:r>
    </w:p>
    <w:p w14:paraId="1C5236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氮氧化物NOx主要来源于裂解炉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其生成</w:t>
      </w:r>
      <w:r>
        <w:rPr>
          <w:rFonts w:hint="eastAsia" w:ascii="宋体" w:hAnsi="宋体" w:eastAsia="宋体" w:cs="宋体"/>
          <w:sz w:val="21"/>
          <w:szCs w:val="21"/>
        </w:rPr>
        <w:t>机理有燃料型、热力型以及快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速型，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主要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影响因素有燃料中含氮化合物的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含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量、火焰温度、氧气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浓度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及停留时间</w:t>
      </w:r>
      <w:r>
        <w:rPr>
          <w:rFonts w:hint="eastAsia" w:ascii="宋体" w:hAnsi="宋体" w:eastAsia="宋体" w:cs="宋体"/>
          <w:color w:val="auto"/>
          <w:sz w:val="21"/>
          <w:szCs w:val="21"/>
          <w:vertAlign w:val="superscript"/>
          <w:lang w:val="en-US" w:eastAsia="zh-CN"/>
        </w:rPr>
        <w:t>[4]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>本SAR装置裂解炉中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NOx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生成</w:t>
      </w:r>
      <w:r>
        <w:rPr>
          <w:rFonts w:hint="eastAsia" w:ascii="宋体" w:hAnsi="宋体" w:eastAsia="宋体" w:cs="宋体"/>
          <w:sz w:val="21"/>
          <w:szCs w:val="21"/>
        </w:rPr>
        <w:t>以燃料型为主。在含硫废液高温分解过程中生成大量NH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，NH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3</w:t>
      </w:r>
      <w:r>
        <w:rPr>
          <w:rFonts w:hint="eastAsia" w:ascii="宋体" w:hAnsi="宋体" w:eastAsia="宋体" w:cs="宋体"/>
          <w:sz w:val="21"/>
          <w:szCs w:val="21"/>
          <w:vertAlign w:val="baseline"/>
          <w:lang w:val="en-US" w:eastAsia="zh-CN"/>
        </w:rPr>
        <w:t>进一步</w:t>
      </w:r>
      <w:r>
        <w:rPr>
          <w:rFonts w:hint="eastAsia" w:ascii="宋体" w:hAnsi="宋体" w:eastAsia="宋体" w:cs="宋体"/>
          <w:sz w:val="21"/>
          <w:szCs w:val="21"/>
        </w:rPr>
        <w:t>与O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反应部分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转化为</w:t>
      </w:r>
      <w:r>
        <w:rPr>
          <w:rFonts w:hint="eastAsia" w:ascii="宋体" w:hAnsi="宋体" w:eastAsia="宋体" w:cs="宋体"/>
          <w:sz w:val="21"/>
          <w:szCs w:val="21"/>
        </w:rPr>
        <w:t>NOx。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为控制</w:t>
      </w:r>
      <w:r>
        <w:rPr>
          <w:rFonts w:hint="eastAsia" w:ascii="宋体" w:hAnsi="宋体" w:eastAsia="宋体" w:cs="宋体"/>
          <w:sz w:val="21"/>
          <w:szCs w:val="21"/>
        </w:rPr>
        <w:t>NOx的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生成，</w:t>
      </w:r>
      <w:r>
        <w:rPr>
          <w:rFonts w:hint="eastAsia" w:ascii="宋体" w:hAnsi="宋体" w:eastAsia="宋体" w:cs="宋体"/>
          <w:sz w:val="21"/>
          <w:szCs w:val="21"/>
        </w:rPr>
        <w:t>裂解炉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采用分级燃烧技术，</w:t>
      </w:r>
      <w:r>
        <w:rPr>
          <w:rFonts w:hint="eastAsia" w:ascii="宋体" w:hAnsi="宋体" w:eastAsia="宋体" w:cs="宋体"/>
          <w:sz w:val="21"/>
          <w:szCs w:val="21"/>
        </w:rPr>
        <w:t>分为还原段和氧化段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>在还原段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氧气的化学计量系数在0.8~0.9，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在</w:t>
      </w:r>
      <w:r>
        <w:rPr>
          <w:rFonts w:hint="eastAsia" w:ascii="宋体" w:hAnsi="宋体" w:eastAsia="宋体" w:cs="宋体"/>
          <w:sz w:val="21"/>
          <w:szCs w:val="21"/>
        </w:rPr>
        <w:t>欠氧的气氛下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并优化</w:t>
      </w:r>
      <w:r>
        <w:rPr>
          <w:rFonts w:hint="eastAsia" w:ascii="宋体" w:hAnsi="宋体" w:eastAsia="宋体" w:cs="宋体"/>
          <w:sz w:val="21"/>
          <w:szCs w:val="21"/>
        </w:rPr>
        <w:t>停留时间，将含氮化合物尽可能转化为N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从而减少</w:t>
      </w:r>
      <w:r>
        <w:rPr>
          <w:rFonts w:hint="eastAsia" w:ascii="宋体" w:hAnsi="宋体" w:eastAsia="宋体" w:cs="宋体"/>
          <w:sz w:val="21"/>
          <w:szCs w:val="21"/>
        </w:rPr>
        <w:t>燃料型NOx的生成。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此外，</w:t>
      </w:r>
      <w:r>
        <w:rPr>
          <w:rFonts w:hint="eastAsia" w:ascii="宋体" w:hAnsi="宋体" w:eastAsia="宋体" w:cs="宋体"/>
          <w:sz w:val="21"/>
          <w:szCs w:val="21"/>
        </w:rPr>
        <w:t>裂解炉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还</w:t>
      </w:r>
      <w:r>
        <w:rPr>
          <w:rFonts w:hint="eastAsia" w:ascii="宋体" w:hAnsi="宋体" w:eastAsia="宋体" w:cs="宋体"/>
          <w:sz w:val="21"/>
          <w:szCs w:val="21"/>
        </w:rPr>
        <w:t>配置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了</w:t>
      </w:r>
      <w:r>
        <w:rPr>
          <w:rFonts w:hint="eastAsia" w:ascii="宋体" w:hAnsi="宋体" w:eastAsia="宋体" w:cs="宋体"/>
          <w:sz w:val="21"/>
          <w:szCs w:val="21"/>
        </w:rPr>
        <w:t>低氮燃烧器，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以</w:t>
      </w:r>
      <w:r>
        <w:rPr>
          <w:rFonts w:hint="eastAsia" w:ascii="宋体" w:hAnsi="宋体" w:eastAsia="宋体" w:cs="宋体"/>
          <w:sz w:val="21"/>
          <w:szCs w:val="21"/>
        </w:rPr>
        <w:t>尽量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抑制</w:t>
      </w:r>
      <w:r>
        <w:rPr>
          <w:rFonts w:hint="eastAsia" w:ascii="宋体" w:hAnsi="宋体" w:eastAsia="宋体" w:cs="宋体"/>
          <w:sz w:val="21"/>
          <w:szCs w:val="21"/>
        </w:rPr>
        <w:t>热力型NOx的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生成</w:t>
      </w:r>
      <w:r>
        <w:rPr>
          <w:rFonts w:hint="eastAsia" w:ascii="宋体" w:hAnsi="宋体" w:eastAsia="宋体" w:cs="宋体"/>
          <w:sz w:val="21"/>
          <w:szCs w:val="21"/>
        </w:rPr>
        <w:t>。尽管在裂解炉设计中就考虑NOx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减排措施</w:t>
      </w:r>
      <w:r>
        <w:rPr>
          <w:rFonts w:hint="eastAsia" w:ascii="宋体" w:hAnsi="宋体" w:eastAsia="宋体" w:cs="宋体"/>
          <w:sz w:val="21"/>
          <w:szCs w:val="21"/>
        </w:rPr>
        <w:t>，但炉尾NOx含量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仍常高于</w:t>
      </w:r>
      <w:r>
        <w:rPr>
          <w:rFonts w:hint="eastAsia" w:ascii="宋体" w:hAnsi="宋体" w:eastAsia="宋体" w:cs="宋体"/>
          <w:sz w:val="21"/>
          <w:szCs w:val="21"/>
        </w:rPr>
        <w:t>250 mg/Nm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,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因此需进一步采取脱硝措施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 w14:paraId="190D1258">
      <w:pPr>
        <w:pStyle w:val="3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200"/>
        <w:textAlignment w:val="auto"/>
        <w:outlineLvl w:val="0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3.2脱硝工艺选择</w:t>
      </w:r>
    </w:p>
    <w:p w14:paraId="08CDD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烟气脱硝主要有选择性催化还原法（SCR）及选择性非催化还原法（SNCR）。SNCR法是在850℃~1000℃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温度区间</w:t>
      </w:r>
      <w:r>
        <w:rPr>
          <w:rFonts w:hint="eastAsia" w:ascii="宋体" w:hAnsi="宋体" w:eastAsia="宋体" w:cs="宋体"/>
          <w:sz w:val="21"/>
          <w:szCs w:val="21"/>
        </w:rPr>
        <w:t>内向烟气中喷入还原剂（如氨水），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将</w:t>
      </w:r>
      <w:r>
        <w:rPr>
          <w:rFonts w:hint="eastAsia" w:ascii="宋体" w:hAnsi="宋体" w:eastAsia="宋体" w:cs="宋体"/>
          <w:sz w:val="21"/>
          <w:szCs w:val="21"/>
        </w:rPr>
        <w:t>氮氧化物被还原为氮气和水，但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其脱硫</w:t>
      </w:r>
      <w:r>
        <w:rPr>
          <w:rFonts w:hint="eastAsia" w:ascii="宋体" w:hAnsi="宋体" w:eastAsia="宋体" w:cs="宋体"/>
          <w:sz w:val="21"/>
          <w:szCs w:val="21"/>
        </w:rPr>
        <w:t>效率在50%左右，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难以</w:t>
      </w:r>
      <w:r>
        <w:rPr>
          <w:rFonts w:hint="eastAsia" w:ascii="宋体" w:hAnsi="宋体" w:eastAsia="宋体" w:cs="宋体"/>
          <w:sz w:val="21"/>
          <w:szCs w:val="21"/>
        </w:rPr>
        <w:t>满足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现行</w:t>
      </w:r>
      <w:r>
        <w:rPr>
          <w:rFonts w:hint="eastAsia" w:ascii="宋体" w:hAnsi="宋体" w:eastAsia="宋体" w:cs="宋体"/>
          <w:sz w:val="21"/>
          <w:szCs w:val="21"/>
        </w:rPr>
        <w:t>环保排放限值。SCR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法的</w:t>
      </w:r>
      <w:r>
        <w:rPr>
          <w:rFonts w:hint="eastAsia" w:ascii="宋体" w:hAnsi="宋体" w:eastAsia="宋体" w:cs="宋体"/>
          <w:sz w:val="21"/>
          <w:szCs w:val="21"/>
        </w:rPr>
        <w:t>脱硝效率较高，一般可达到90%以上，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因此</w:t>
      </w:r>
      <w:r>
        <w:rPr>
          <w:rFonts w:hint="eastAsia" w:ascii="宋体" w:hAnsi="宋体" w:eastAsia="宋体" w:cs="宋体"/>
          <w:sz w:val="21"/>
          <w:szCs w:val="21"/>
        </w:rPr>
        <w:t>本SAR装置选用SCR脱硝技术。</w:t>
      </w:r>
    </w:p>
    <w:p w14:paraId="2B9E0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主要工艺原理：</w:t>
      </w:r>
      <w:r>
        <w:rPr>
          <w:rFonts w:hint="eastAsia" w:ascii="宋体" w:hAnsi="宋体" w:eastAsia="宋体" w:cs="宋体"/>
          <w:sz w:val="21"/>
          <w:szCs w:val="21"/>
        </w:rPr>
        <w:t>在进入转化器一段上游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工艺气体</w:t>
      </w:r>
      <w:r>
        <w:rPr>
          <w:rFonts w:hint="eastAsia" w:ascii="宋体" w:hAnsi="宋体" w:eastAsia="宋体" w:cs="宋体"/>
          <w:sz w:val="21"/>
          <w:szCs w:val="21"/>
        </w:rPr>
        <w:t>温度在320℃~400℃区间内，在催化剂作用下，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以</w:t>
      </w:r>
      <w:r>
        <w:rPr>
          <w:rFonts w:hint="eastAsia" w:ascii="宋体" w:hAnsi="宋体" w:eastAsia="宋体" w:cs="宋体"/>
          <w:sz w:val="21"/>
          <w:szCs w:val="21"/>
        </w:rPr>
        <w:t>来自丙烯腈装置氨气作为还原剂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与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工艺气体</w:t>
      </w:r>
      <w:r>
        <w:rPr>
          <w:rFonts w:hint="eastAsia" w:ascii="宋体" w:hAnsi="宋体" w:eastAsia="宋体" w:cs="宋体"/>
          <w:sz w:val="21"/>
          <w:szCs w:val="21"/>
        </w:rPr>
        <w:t>中NOx反应生成氮气和水。其反应方式式为：NH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 xml:space="preserve"> + NOx → N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 xml:space="preserve"> + H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O （催化剂）</w:t>
      </w:r>
    </w:p>
    <w:p w14:paraId="1A3C5C68">
      <w:pPr>
        <w:pStyle w:val="3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200"/>
        <w:textAlignment w:val="auto"/>
        <w:outlineLvl w:val="0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3.3脱硝系统工程设计</w:t>
      </w:r>
    </w:p>
    <w:p w14:paraId="0BE05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（1）工艺流程描述</w:t>
      </w:r>
    </w:p>
    <w:p w14:paraId="67FC0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在转化器一段上游选取工艺气体温度为315℃~400℃的区间内设置SCR脱硝系统。在工艺气体进入SCR脱硝系统前设置电加热器，以保证装置在低负荷情况下工艺气体仍能达到SCR所需反应温度。</w:t>
      </w:r>
    </w:p>
    <w:p w14:paraId="5F2A3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来自上游丙烯腈装置的氨气与来自公用工程的压缩空气在氨/空混合器中混合均匀，经氨分布器喷入烟道内，与上游装置来的工艺气混合。混合氨气的工艺气体经气流均布后进入SCR脱硝反应器催化剂床层，在催化剂的作用下，氨气将氮氧化物还原为氮气，达到脱除氮氧化物的目的。具体工艺流程详见图3：</w:t>
      </w:r>
    </w:p>
    <w:p w14:paraId="30F5F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drawing>
          <wp:inline distT="0" distB="0" distL="114300" distR="114300">
            <wp:extent cx="4331970" cy="2707640"/>
            <wp:effectExtent l="0" t="0" r="11430" b="16510"/>
            <wp:docPr id="1" name="图片 1" descr="脱硝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脱硝流程图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31970" cy="270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F51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1-SCR脱硝反应器，2-电加热器，3-氨分布器，4-氨/空混合器</w:t>
      </w:r>
    </w:p>
    <w:p w14:paraId="37F146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图3  脱硝系统工艺流程</w:t>
      </w:r>
    </w:p>
    <w:p w14:paraId="71E729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（2）反应温度控制</w:t>
      </w:r>
    </w:p>
    <w:p w14:paraId="67931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本SCR脱硝系统为中温型，催化剂运行温度在315℃~400℃之间。当工艺气体温度偏低时，脱硝效果下降，且氨逃逸增加。当工艺气体温度偏高时，长时间运行会损害催化剂的活性。因此，在SCR脱硝系统上游设置有电加热器，可在装置低负荷情况下灵活调节工艺气体温度，使其在合适的操作区间。</w:t>
      </w:r>
    </w:p>
    <w:p w14:paraId="024E6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（3）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氨气/空气加入量</w:t>
      </w:r>
    </w:p>
    <w:p w14:paraId="206682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氨气的入量根据SCR反应器上、下游NOx分析仪测定值确定，以确保SCR脱硝系统出口NOx≤50 mg/Nm3(基准氧含量3%)。同时，在反应器下游设置氨逃逸分析仪，避免因过量加氨而影响下游设备。</w:t>
      </w:r>
    </w:p>
    <w:p w14:paraId="5318B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空气的加入量由氨气流量决定。控制进入氨/空气混合器中的氨气与空气的摩尔比不高于氨气爆炸下限的25%，即氨气/空气摩尔比小于4%，以防止操作过程中氨气浓度达到爆炸极限。</w:t>
      </w:r>
    </w:p>
    <w:p w14:paraId="39386C6A">
      <w:pPr>
        <w:pStyle w:val="3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200"/>
        <w:textAlignment w:val="auto"/>
        <w:outlineLvl w:val="0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3.4运行情况</w:t>
      </w:r>
    </w:p>
    <w:p w14:paraId="44A3E4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脱硝系统实际运行情况详见表3：</w:t>
      </w:r>
    </w:p>
    <w:p w14:paraId="039A6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表3 SCR脱硝系统运行情况</w:t>
      </w:r>
    </w:p>
    <w:tbl>
      <w:tblPr>
        <w:tblStyle w:val="1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1116"/>
        <w:gridCol w:w="1133"/>
        <w:gridCol w:w="1189"/>
        <w:gridCol w:w="1200"/>
        <w:gridCol w:w="1017"/>
        <w:gridCol w:w="873"/>
        <w:gridCol w:w="1001"/>
      </w:tblGrid>
      <w:tr w14:paraId="65C0C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vAlign w:val="center"/>
          </w:tcPr>
          <w:p w14:paraId="0A197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日期</w:t>
            </w:r>
          </w:p>
        </w:tc>
        <w:tc>
          <w:tcPr>
            <w:tcW w:w="0" w:type="auto"/>
            <w:vAlign w:val="center"/>
          </w:tcPr>
          <w:p w14:paraId="7D33F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工艺气</w:t>
            </w:r>
          </w:p>
          <w:p w14:paraId="4E900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流量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Nm3/h</w:t>
            </w:r>
          </w:p>
        </w:tc>
        <w:tc>
          <w:tcPr>
            <w:tcW w:w="1133" w:type="dxa"/>
            <w:vAlign w:val="center"/>
          </w:tcPr>
          <w:p w14:paraId="1F9E0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进口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NOx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浓度 mg/Nm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89" w:type="dxa"/>
            <w:vAlign w:val="center"/>
          </w:tcPr>
          <w:p w14:paraId="14D83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出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口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NOx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浓度 mg/Nm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00" w:type="dxa"/>
            <w:vAlign w:val="center"/>
          </w:tcPr>
          <w:p w14:paraId="6A0BA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出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口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NH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bscript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浓度 mg/Nm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17" w:type="dxa"/>
            <w:vAlign w:val="center"/>
          </w:tcPr>
          <w:p w14:paraId="71D04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工艺气</w:t>
            </w:r>
          </w:p>
          <w:p w14:paraId="678B5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温度</w:t>
            </w:r>
          </w:p>
          <w:p w14:paraId="67ADD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℃</w:t>
            </w:r>
          </w:p>
        </w:tc>
        <w:tc>
          <w:tcPr>
            <w:tcW w:w="873" w:type="dxa"/>
            <w:vAlign w:val="center"/>
          </w:tcPr>
          <w:p w14:paraId="78C5F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氨气流量</w:t>
            </w:r>
          </w:p>
          <w:p w14:paraId="3743C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Nm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perscript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/h</w:t>
            </w:r>
          </w:p>
        </w:tc>
        <w:tc>
          <w:tcPr>
            <w:tcW w:w="1001" w:type="dxa"/>
            <w:vAlign w:val="center"/>
          </w:tcPr>
          <w:p w14:paraId="06346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空气流量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Nm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superscript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/h</w:t>
            </w:r>
          </w:p>
        </w:tc>
      </w:tr>
      <w:tr w14:paraId="7DC33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0" w:type="auto"/>
            <w:vAlign w:val="center"/>
          </w:tcPr>
          <w:p w14:paraId="641FC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2025.12.28</w:t>
            </w:r>
          </w:p>
        </w:tc>
        <w:tc>
          <w:tcPr>
            <w:tcW w:w="0" w:type="auto"/>
            <w:vAlign w:val="center"/>
          </w:tcPr>
          <w:p w14:paraId="5EFA7145">
            <w:pPr>
              <w:keepNext w:val="0"/>
              <w:keepLines w:val="0"/>
              <w:pageBreakBefore w:val="0"/>
              <w:widowControl w:val="0"/>
              <w:tabs>
                <w:tab w:val="left" w:pos="2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17,124</w:t>
            </w:r>
          </w:p>
        </w:tc>
        <w:tc>
          <w:tcPr>
            <w:tcW w:w="1133" w:type="dxa"/>
            <w:vAlign w:val="center"/>
          </w:tcPr>
          <w:p w14:paraId="5FA53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91.4</w:t>
            </w:r>
          </w:p>
        </w:tc>
        <w:tc>
          <w:tcPr>
            <w:tcW w:w="1189" w:type="dxa"/>
            <w:vAlign w:val="center"/>
          </w:tcPr>
          <w:p w14:paraId="74D86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51.57</w:t>
            </w:r>
          </w:p>
        </w:tc>
        <w:tc>
          <w:tcPr>
            <w:tcW w:w="1200" w:type="dxa"/>
            <w:vAlign w:val="center"/>
          </w:tcPr>
          <w:p w14:paraId="04206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1.24</w:t>
            </w:r>
          </w:p>
        </w:tc>
        <w:tc>
          <w:tcPr>
            <w:tcW w:w="1017" w:type="dxa"/>
            <w:vAlign w:val="center"/>
          </w:tcPr>
          <w:p w14:paraId="0E5D1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326</w:t>
            </w:r>
          </w:p>
        </w:tc>
        <w:tc>
          <w:tcPr>
            <w:tcW w:w="873" w:type="dxa"/>
            <w:vAlign w:val="center"/>
          </w:tcPr>
          <w:p w14:paraId="61EF1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0.81</w:t>
            </w:r>
          </w:p>
        </w:tc>
        <w:tc>
          <w:tcPr>
            <w:tcW w:w="1001" w:type="dxa"/>
            <w:vAlign w:val="center"/>
          </w:tcPr>
          <w:p w14:paraId="3857C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95.4</w:t>
            </w:r>
          </w:p>
        </w:tc>
      </w:tr>
      <w:tr w14:paraId="79C7B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vAlign w:val="center"/>
          </w:tcPr>
          <w:p w14:paraId="2F4B5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2026.1.12</w:t>
            </w:r>
          </w:p>
        </w:tc>
        <w:tc>
          <w:tcPr>
            <w:tcW w:w="0" w:type="auto"/>
            <w:vAlign w:val="center"/>
          </w:tcPr>
          <w:p w14:paraId="707BC0E3">
            <w:pPr>
              <w:keepNext w:val="0"/>
              <w:keepLines w:val="0"/>
              <w:pageBreakBefore w:val="0"/>
              <w:widowControl w:val="0"/>
              <w:tabs>
                <w:tab w:val="left" w:pos="2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16,736</w:t>
            </w:r>
          </w:p>
        </w:tc>
        <w:tc>
          <w:tcPr>
            <w:tcW w:w="1133" w:type="dxa"/>
            <w:vAlign w:val="center"/>
          </w:tcPr>
          <w:p w14:paraId="526FF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81.8</w:t>
            </w:r>
          </w:p>
        </w:tc>
        <w:tc>
          <w:tcPr>
            <w:tcW w:w="1189" w:type="dxa"/>
            <w:vAlign w:val="center"/>
          </w:tcPr>
          <w:p w14:paraId="5B946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37.39</w:t>
            </w:r>
          </w:p>
        </w:tc>
        <w:tc>
          <w:tcPr>
            <w:tcW w:w="1200" w:type="dxa"/>
            <w:vAlign w:val="center"/>
          </w:tcPr>
          <w:p w14:paraId="41BF0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1.74</w:t>
            </w:r>
          </w:p>
        </w:tc>
        <w:tc>
          <w:tcPr>
            <w:tcW w:w="1017" w:type="dxa"/>
            <w:vAlign w:val="center"/>
          </w:tcPr>
          <w:p w14:paraId="402E4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320</w:t>
            </w:r>
          </w:p>
        </w:tc>
        <w:tc>
          <w:tcPr>
            <w:tcW w:w="873" w:type="dxa"/>
            <w:vAlign w:val="center"/>
          </w:tcPr>
          <w:p w14:paraId="242C4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0.45</w:t>
            </w:r>
          </w:p>
        </w:tc>
        <w:tc>
          <w:tcPr>
            <w:tcW w:w="1001" w:type="dxa"/>
            <w:vAlign w:val="center"/>
          </w:tcPr>
          <w:p w14:paraId="19727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95.3</w:t>
            </w:r>
          </w:p>
        </w:tc>
      </w:tr>
      <w:tr w14:paraId="3E0AA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vAlign w:val="center"/>
          </w:tcPr>
          <w:p w14:paraId="18C02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2026.3.16</w:t>
            </w:r>
          </w:p>
        </w:tc>
        <w:tc>
          <w:tcPr>
            <w:tcW w:w="0" w:type="auto"/>
            <w:vAlign w:val="center"/>
          </w:tcPr>
          <w:p w14:paraId="37058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24,497</w:t>
            </w:r>
          </w:p>
        </w:tc>
        <w:tc>
          <w:tcPr>
            <w:tcW w:w="1133" w:type="dxa"/>
            <w:vAlign w:val="center"/>
          </w:tcPr>
          <w:p w14:paraId="11B8A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161</w:t>
            </w:r>
          </w:p>
        </w:tc>
        <w:tc>
          <w:tcPr>
            <w:tcW w:w="1189" w:type="dxa"/>
            <w:vAlign w:val="center"/>
          </w:tcPr>
          <w:p w14:paraId="4CD08DCF">
            <w:pPr>
              <w:keepNext w:val="0"/>
              <w:keepLines w:val="0"/>
              <w:pageBreakBefore w:val="0"/>
              <w:widowControl w:val="0"/>
              <w:tabs>
                <w:tab w:val="left" w:pos="23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57.58</w:t>
            </w:r>
          </w:p>
        </w:tc>
        <w:tc>
          <w:tcPr>
            <w:tcW w:w="1200" w:type="dxa"/>
            <w:vAlign w:val="center"/>
          </w:tcPr>
          <w:p w14:paraId="7EBA6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0.05</w:t>
            </w:r>
          </w:p>
        </w:tc>
        <w:tc>
          <w:tcPr>
            <w:tcW w:w="1017" w:type="dxa"/>
            <w:vAlign w:val="center"/>
          </w:tcPr>
          <w:p w14:paraId="3D15F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319</w:t>
            </w:r>
          </w:p>
        </w:tc>
        <w:tc>
          <w:tcPr>
            <w:tcW w:w="873" w:type="dxa"/>
            <w:vAlign w:val="center"/>
          </w:tcPr>
          <w:p w14:paraId="67F0B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2.31</w:t>
            </w:r>
          </w:p>
        </w:tc>
        <w:tc>
          <w:tcPr>
            <w:tcW w:w="1001" w:type="dxa"/>
            <w:vAlign w:val="center"/>
          </w:tcPr>
          <w:p w14:paraId="6BAA8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174.3</w:t>
            </w:r>
          </w:p>
        </w:tc>
      </w:tr>
      <w:tr w14:paraId="464A8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vAlign w:val="center"/>
          </w:tcPr>
          <w:p w14:paraId="65837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2026.6.9</w:t>
            </w:r>
          </w:p>
        </w:tc>
        <w:tc>
          <w:tcPr>
            <w:tcW w:w="0" w:type="auto"/>
            <w:vAlign w:val="center"/>
          </w:tcPr>
          <w:p w14:paraId="3F620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25,152</w:t>
            </w:r>
          </w:p>
        </w:tc>
        <w:tc>
          <w:tcPr>
            <w:tcW w:w="1133" w:type="dxa"/>
            <w:vAlign w:val="center"/>
          </w:tcPr>
          <w:p w14:paraId="54D63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188</w:t>
            </w:r>
          </w:p>
        </w:tc>
        <w:tc>
          <w:tcPr>
            <w:tcW w:w="1189" w:type="dxa"/>
            <w:vAlign w:val="center"/>
          </w:tcPr>
          <w:p w14:paraId="070F5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34.7</w:t>
            </w:r>
          </w:p>
        </w:tc>
        <w:tc>
          <w:tcPr>
            <w:tcW w:w="1200" w:type="dxa"/>
            <w:vAlign w:val="center"/>
          </w:tcPr>
          <w:p w14:paraId="10078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4.01</w:t>
            </w:r>
          </w:p>
        </w:tc>
        <w:tc>
          <w:tcPr>
            <w:tcW w:w="1017" w:type="dxa"/>
            <w:vAlign w:val="center"/>
          </w:tcPr>
          <w:p w14:paraId="66578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316</w:t>
            </w:r>
          </w:p>
        </w:tc>
        <w:tc>
          <w:tcPr>
            <w:tcW w:w="873" w:type="dxa"/>
            <w:vAlign w:val="center"/>
          </w:tcPr>
          <w:p w14:paraId="06B3C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2.98</w:t>
            </w:r>
          </w:p>
        </w:tc>
        <w:tc>
          <w:tcPr>
            <w:tcW w:w="1001" w:type="dxa"/>
            <w:vAlign w:val="center"/>
          </w:tcPr>
          <w:p w14:paraId="7EFD3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168.2</w:t>
            </w:r>
          </w:p>
        </w:tc>
      </w:tr>
    </w:tbl>
    <w:p w14:paraId="1F425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从表3 SCR脱硝系统运行工况可以看出，装置负荷增大时，氨气的加入量相应增加。但由于工艺气体中本身NOx浓度较低，且要求出口氨逃逸≤2.5 mg/Nm</w:t>
      </w:r>
      <w:r>
        <w:rPr>
          <w:rFonts w:hint="eastAsia" w:ascii="宋体" w:hAnsi="宋体" w:eastAsia="宋体" w:cs="宋体"/>
          <w:sz w:val="21"/>
          <w:szCs w:val="21"/>
          <w:vertAlign w:val="superscript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，实际仅需加入小量氨气。氨气加入量波动导致出口NOx浓度出现一定的波动，脱硫效率在80%左右。整体来看，整个控制系统的稳定性有待进一步提高。</w:t>
      </w:r>
    </w:p>
    <w:p w14:paraId="6531D8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氨气的爆炸下限为15%（体积分数），根据表3数据，氨气与空气的流量比均小于2%，远低于爆炸下限的25%安全限值，可保证运行的本质安全。</w:t>
      </w:r>
    </w:p>
    <w:p w14:paraId="7F37F7EC">
      <w:pPr>
        <w:pStyle w:val="3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200"/>
        <w:textAlignment w:val="auto"/>
        <w:outlineLvl w:val="0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 总结</w:t>
      </w:r>
    </w:p>
    <w:p w14:paraId="4798B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裕龙岛炼化一体化（一期）项目3万/年SAR装置运行一年半，整体而言，脱硫脱硝系统运行平稳、周期长，能够实现装置尾气达标排放。但在实际运行过程中，仍存在以下问题：</w:t>
      </w:r>
    </w:p>
    <w:p w14:paraId="4937CBFA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受上游装置的影响，SAR装置负荷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波动较大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导致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脱硫系统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无法实现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连续自动化操作，为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维持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工艺操作参数在正常范围内，需人工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介入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控制。</w:t>
      </w:r>
    </w:p>
    <w:p w14:paraId="15E6DBDB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脱硫塔气体入口管道存在强酸雾与稀酸雾界面，FRP材质易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受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腐蚀，需在设备气体入口段设置四氟套管，避免出现设备损坏情况。</w:t>
      </w:r>
    </w:p>
    <w:p w14:paraId="0453598B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脱硝系统设计负荷偏大，而实际运行中由于上游NOx浓度的不稳定，对SCR脱硝系统的控制精确性及稳定性提出了较高要求。</w:t>
      </w:r>
    </w:p>
    <w:p w14:paraId="4340B8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3B42D450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400" w:lineRule="exact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参考文献</w:t>
      </w:r>
    </w:p>
    <w:p w14:paraId="12E2A333">
      <w:pPr>
        <w:pStyle w:val="7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40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 xml:space="preserve"> 沙业汪,孙仲坡,洪凯松,等.硫酸工艺设计手册　物化数据篇[M].南京:化工部硫酸工业科技情报中心站,1990:34.</w:t>
      </w:r>
    </w:p>
    <w:p w14:paraId="40A1E15B">
      <w:pPr>
        <w:pStyle w:val="7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40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刘红梅，周贵云，陈建钧，朱芳，胡海洋，过氧化氢脱硫工艺技术的研究[J]，磷肥与复肥，2017（6）：17-18</w:t>
      </w:r>
    </w:p>
    <w:p w14:paraId="76D078C9">
      <w:pPr>
        <w:pStyle w:val="7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40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吴越，双氧水脱硫工艺中酸雾的产生及控制[J]，中国有色冶金，2021（4），105-107</w:t>
      </w:r>
    </w:p>
    <w:p w14:paraId="70BB1C92">
      <w:pPr>
        <w:pStyle w:val="7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40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何文豪，卢硕，刘彬，程怀志，超级低氮燃烧技术在废酸裂解炉上的应用[J]，硫磷设计与粉体工程，2024（2）：26-29</w:t>
      </w:r>
    </w:p>
    <w:p w14:paraId="069975E4">
      <w:pPr>
        <w:pStyle w:val="7"/>
        <w:widowControl w:val="0"/>
        <w:numPr>
          <w:ilvl w:val="0"/>
          <w:numId w:val="0"/>
        </w:numPr>
        <w:spacing w:after="120"/>
        <w:jc w:val="both"/>
        <w:rPr>
          <w:rFonts w:hint="eastAsia" w:ascii="Times New Roman" w:hAnsi="Times New Roman" w:eastAsia="宋体"/>
          <w:color w:val="auto"/>
          <w:szCs w:val="21"/>
          <w:lang w:val="en-US" w:eastAsia="zh-CN"/>
        </w:rPr>
      </w:pPr>
    </w:p>
    <w:sectPr>
      <w:pgSz w:w="11906" w:h="16838"/>
      <w:pgMar w:top="1814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8EE951"/>
    <w:multiLevelType w:val="singleLevel"/>
    <w:tmpl w:val="988EE95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A8AAE6F2"/>
    <w:multiLevelType w:val="singleLevel"/>
    <w:tmpl w:val="A8AAE6F2"/>
    <w:lvl w:ilvl="0" w:tentative="0">
      <w:start w:val="1"/>
      <w:numFmt w:val="decimal"/>
      <w:suff w:val="nothing"/>
      <w:lvlText w:val="%1-"/>
      <w:lvlJc w:val="left"/>
    </w:lvl>
  </w:abstractNum>
  <w:abstractNum w:abstractNumId="2">
    <w:nsid w:val="B40F5139"/>
    <w:multiLevelType w:val="singleLevel"/>
    <w:tmpl w:val="B40F5139"/>
    <w:lvl w:ilvl="0" w:tentative="0">
      <w:start w:val="1"/>
      <w:numFmt w:val="decimal"/>
      <w:suff w:val="space"/>
      <w:lvlText w:val="[%1]"/>
      <w:lvlJc w:val="left"/>
    </w:lvl>
  </w:abstractNum>
  <w:abstractNum w:abstractNumId="3">
    <w:nsid w:val="35A8C1DD"/>
    <w:multiLevelType w:val="singleLevel"/>
    <w:tmpl w:val="35A8C1DD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5ZmMwZTNkY2FjMjU1Y2Y4ZTlkNzhjNmI4MDEyNjcifQ=="/>
  </w:docVars>
  <w:rsids>
    <w:rsidRoot w:val="00DD4CC1"/>
    <w:rsid w:val="00036B5E"/>
    <w:rsid w:val="00047FC0"/>
    <w:rsid w:val="00060599"/>
    <w:rsid w:val="0008730F"/>
    <w:rsid w:val="000A4D30"/>
    <w:rsid w:val="001570A5"/>
    <w:rsid w:val="001653DA"/>
    <w:rsid w:val="00170655"/>
    <w:rsid w:val="001F16B8"/>
    <w:rsid w:val="001F268C"/>
    <w:rsid w:val="00205F95"/>
    <w:rsid w:val="00223CAE"/>
    <w:rsid w:val="00252BF1"/>
    <w:rsid w:val="00264F57"/>
    <w:rsid w:val="002A2FE8"/>
    <w:rsid w:val="002A6E7F"/>
    <w:rsid w:val="002D3AD9"/>
    <w:rsid w:val="0032324D"/>
    <w:rsid w:val="00326DED"/>
    <w:rsid w:val="00452666"/>
    <w:rsid w:val="0046021A"/>
    <w:rsid w:val="00472F07"/>
    <w:rsid w:val="00495E28"/>
    <w:rsid w:val="004A7308"/>
    <w:rsid w:val="004B658B"/>
    <w:rsid w:val="004E5974"/>
    <w:rsid w:val="004E639D"/>
    <w:rsid w:val="0052555F"/>
    <w:rsid w:val="00550EFD"/>
    <w:rsid w:val="005A641B"/>
    <w:rsid w:val="005B2031"/>
    <w:rsid w:val="006054C1"/>
    <w:rsid w:val="006278D9"/>
    <w:rsid w:val="006525A5"/>
    <w:rsid w:val="006B4EF3"/>
    <w:rsid w:val="006B523C"/>
    <w:rsid w:val="006C7D50"/>
    <w:rsid w:val="00704818"/>
    <w:rsid w:val="00735E72"/>
    <w:rsid w:val="00756BF6"/>
    <w:rsid w:val="007958E0"/>
    <w:rsid w:val="007A04D9"/>
    <w:rsid w:val="007C2153"/>
    <w:rsid w:val="007D0764"/>
    <w:rsid w:val="007F00BC"/>
    <w:rsid w:val="00844F2C"/>
    <w:rsid w:val="00852987"/>
    <w:rsid w:val="0087425D"/>
    <w:rsid w:val="00874940"/>
    <w:rsid w:val="009168ED"/>
    <w:rsid w:val="0093495B"/>
    <w:rsid w:val="0094356F"/>
    <w:rsid w:val="009819FE"/>
    <w:rsid w:val="00987F1F"/>
    <w:rsid w:val="00A0752B"/>
    <w:rsid w:val="00A1502F"/>
    <w:rsid w:val="00A3470B"/>
    <w:rsid w:val="00A633AE"/>
    <w:rsid w:val="00A81B9E"/>
    <w:rsid w:val="00AA011A"/>
    <w:rsid w:val="00AD6D59"/>
    <w:rsid w:val="00B05911"/>
    <w:rsid w:val="00B226D2"/>
    <w:rsid w:val="00B86F3C"/>
    <w:rsid w:val="00BD25C3"/>
    <w:rsid w:val="00BF5402"/>
    <w:rsid w:val="00C31229"/>
    <w:rsid w:val="00C76433"/>
    <w:rsid w:val="00CF58F8"/>
    <w:rsid w:val="00D203A8"/>
    <w:rsid w:val="00D36A6E"/>
    <w:rsid w:val="00D829F0"/>
    <w:rsid w:val="00DD4CC1"/>
    <w:rsid w:val="00DE0390"/>
    <w:rsid w:val="00DF0139"/>
    <w:rsid w:val="00E52C97"/>
    <w:rsid w:val="00E67BF2"/>
    <w:rsid w:val="00EC1DD6"/>
    <w:rsid w:val="00ED67A0"/>
    <w:rsid w:val="00F153FF"/>
    <w:rsid w:val="00F22786"/>
    <w:rsid w:val="00F834FB"/>
    <w:rsid w:val="00F9257D"/>
    <w:rsid w:val="00FB3EEC"/>
    <w:rsid w:val="00FD2258"/>
    <w:rsid w:val="014A2DD9"/>
    <w:rsid w:val="01520363"/>
    <w:rsid w:val="01C963F3"/>
    <w:rsid w:val="01DE1C5C"/>
    <w:rsid w:val="02203B3A"/>
    <w:rsid w:val="02B86B51"/>
    <w:rsid w:val="03304250"/>
    <w:rsid w:val="0374238F"/>
    <w:rsid w:val="03A5079A"/>
    <w:rsid w:val="03C50E3C"/>
    <w:rsid w:val="03C527A5"/>
    <w:rsid w:val="048748A1"/>
    <w:rsid w:val="04CC1D57"/>
    <w:rsid w:val="04DC643E"/>
    <w:rsid w:val="056106F1"/>
    <w:rsid w:val="05AE130F"/>
    <w:rsid w:val="05FB3670"/>
    <w:rsid w:val="06112117"/>
    <w:rsid w:val="062077BC"/>
    <w:rsid w:val="065F10D4"/>
    <w:rsid w:val="0730481F"/>
    <w:rsid w:val="076E5F7E"/>
    <w:rsid w:val="07B471FE"/>
    <w:rsid w:val="07C05BA3"/>
    <w:rsid w:val="07E3246F"/>
    <w:rsid w:val="07F7358F"/>
    <w:rsid w:val="08564759"/>
    <w:rsid w:val="08BA0844"/>
    <w:rsid w:val="091A7E4E"/>
    <w:rsid w:val="09931095"/>
    <w:rsid w:val="09F00295"/>
    <w:rsid w:val="0A122902"/>
    <w:rsid w:val="0A4B20AA"/>
    <w:rsid w:val="0AEE6ECB"/>
    <w:rsid w:val="0AFF2E86"/>
    <w:rsid w:val="0B664CB3"/>
    <w:rsid w:val="0C0E77A3"/>
    <w:rsid w:val="0C2B45A8"/>
    <w:rsid w:val="0C580AA0"/>
    <w:rsid w:val="0C8E44C1"/>
    <w:rsid w:val="0CDE6ACB"/>
    <w:rsid w:val="0CE82491"/>
    <w:rsid w:val="0CF56428"/>
    <w:rsid w:val="0D525F6F"/>
    <w:rsid w:val="0D731909"/>
    <w:rsid w:val="0DA11FD2"/>
    <w:rsid w:val="0E470192"/>
    <w:rsid w:val="0E5352AC"/>
    <w:rsid w:val="0E792F4F"/>
    <w:rsid w:val="0EC8358F"/>
    <w:rsid w:val="0F543075"/>
    <w:rsid w:val="0FEE51C5"/>
    <w:rsid w:val="0FEF171B"/>
    <w:rsid w:val="0FF00FEF"/>
    <w:rsid w:val="0FF705D0"/>
    <w:rsid w:val="102313C5"/>
    <w:rsid w:val="103C5A23"/>
    <w:rsid w:val="10523A58"/>
    <w:rsid w:val="10667503"/>
    <w:rsid w:val="108035FE"/>
    <w:rsid w:val="108F6A5A"/>
    <w:rsid w:val="10B85FB1"/>
    <w:rsid w:val="10BB15FD"/>
    <w:rsid w:val="10D34B99"/>
    <w:rsid w:val="111156C1"/>
    <w:rsid w:val="111B6540"/>
    <w:rsid w:val="11407D54"/>
    <w:rsid w:val="11690D06"/>
    <w:rsid w:val="11A25109"/>
    <w:rsid w:val="123F1DBA"/>
    <w:rsid w:val="127E6D86"/>
    <w:rsid w:val="12CF1390"/>
    <w:rsid w:val="12DB7D35"/>
    <w:rsid w:val="12E60488"/>
    <w:rsid w:val="13001868"/>
    <w:rsid w:val="132A2A6A"/>
    <w:rsid w:val="13CB5FFB"/>
    <w:rsid w:val="145D3907"/>
    <w:rsid w:val="148A7C64"/>
    <w:rsid w:val="14B4083D"/>
    <w:rsid w:val="156C2EC6"/>
    <w:rsid w:val="15C56B00"/>
    <w:rsid w:val="16132CB9"/>
    <w:rsid w:val="16B20DAC"/>
    <w:rsid w:val="16B25250"/>
    <w:rsid w:val="16B32D77"/>
    <w:rsid w:val="16B8213B"/>
    <w:rsid w:val="16D2144F"/>
    <w:rsid w:val="17836BED"/>
    <w:rsid w:val="178C5AA1"/>
    <w:rsid w:val="17AD77C6"/>
    <w:rsid w:val="180933FC"/>
    <w:rsid w:val="185C6006"/>
    <w:rsid w:val="18616F2E"/>
    <w:rsid w:val="191221DB"/>
    <w:rsid w:val="19235F91"/>
    <w:rsid w:val="19800B64"/>
    <w:rsid w:val="19836A30"/>
    <w:rsid w:val="199944A6"/>
    <w:rsid w:val="19D61256"/>
    <w:rsid w:val="19FD4A34"/>
    <w:rsid w:val="1A533F79"/>
    <w:rsid w:val="1A5A1E87"/>
    <w:rsid w:val="1B2F179A"/>
    <w:rsid w:val="1B6F3710"/>
    <w:rsid w:val="1C0D3E62"/>
    <w:rsid w:val="1C250273"/>
    <w:rsid w:val="1D01483C"/>
    <w:rsid w:val="1D5D57EA"/>
    <w:rsid w:val="1E171E3D"/>
    <w:rsid w:val="1EBA2EF4"/>
    <w:rsid w:val="1EC41FC5"/>
    <w:rsid w:val="1EFE3E02"/>
    <w:rsid w:val="1F78690B"/>
    <w:rsid w:val="1FA40E26"/>
    <w:rsid w:val="20181E55"/>
    <w:rsid w:val="20200F8C"/>
    <w:rsid w:val="204B20BB"/>
    <w:rsid w:val="204F1D62"/>
    <w:rsid w:val="205C7FDB"/>
    <w:rsid w:val="20CA763A"/>
    <w:rsid w:val="21294361"/>
    <w:rsid w:val="21661758"/>
    <w:rsid w:val="227635D6"/>
    <w:rsid w:val="22BA5BB9"/>
    <w:rsid w:val="230D784D"/>
    <w:rsid w:val="23B95F13"/>
    <w:rsid w:val="24174945"/>
    <w:rsid w:val="24212C83"/>
    <w:rsid w:val="244020ED"/>
    <w:rsid w:val="248B32E5"/>
    <w:rsid w:val="24B17D3C"/>
    <w:rsid w:val="24EE1B49"/>
    <w:rsid w:val="25007ACF"/>
    <w:rsid w:val="25867FD4"/>
    <w:rsid w:val="259C77F7"/>
    <w:rsid w:val="262A3A04"/>
    <w:rsid w:val="269C7383"/>
    <w:rsid w:val="26B66697"/>
    <w:rsid w:val="273D46C2"/>
    <w:rsid w:val="27435A51"/>
    <w:rsid w:val="27466F3A"/>
    <w:rsid w:val="276F4A98"/>
    <w:rsid w:val="27A07EB4"/>
    <w:rsid w:val="283B6E9A"/>
    <w:rsid w:val="28414686"/>
    <w:rsid w:val="284D6B87"/>
    <w:rsid w:val="287C746C"/>
    <w:rsid w:val="288D3427"/>
    <w:rsid w:val="28A40771"/>
    <w:rsid w:val="28C3509B"/>
    <w:rsid w:val="28D44D60"/>
    <w:rsid w:val="29F55569"/>
    <w:rsid w:val="2A6D1762"/>
    <w:rsid w:val="2A9C2048"/>
    <w:rsid w:val="2AF37C49"/>
    <w:rsid w:val="2C1A3224"/>
    <w:rsid w:val="2C5F332D"/>
    <w:rsid w:val="2CDC497D"/>
    <w:rsid w:val="2DA03BFD"/>
    <w:rsid w:val="2DA336ED"/>
    <w:rsid w:val="2DD45655"/>
    <w:rsid w:val="2E7221A8"/>
    <w:rsid w:val="2EC67693"/>
    <w:rsid w:val="2EE30245"/>
    <w:rsid w:val="2F087CAC"/>
    <w:rsid w:val="2F0E4B96"/>
    <w:rsid w:val="2F1A353B"/>
    <w:rsid w:val="2F1F6DA3"/>
    <w:rsid w:val="2F397E65"/>
    <w:rsid w:val="2F620882"/>
    <w:rsid w:val="2F633134"/>
    <w:rsid w:val="2F882B9B"/>
    <w:rsid w:val="2FA86D99"/>
    <w:rsid w:val="312F3756"/>
    <w:rsid w:val="31496359"/>
    <w:rsid w:val="315E0057"/>
    <w:rsid w:val="318D4498"/>
    <w:rsid w:val="3199108F"/>
    <w:rsid w:val="319F16AA"/>
    <w:rsid w:val="31CC4FC0"/>
    <w:rsid w:val="31DE4CF4"/>
    <w:rsid w:val="31F167D5"/>
    <w:rsid w:val="3216448E"/>
    <w:rsid w:val="321D581C"/>
    <w:rsid w:val="323963CE"/>
    <w:rsid w:val="3273368E"/>
    <w:rsid w:val="32963820"/>
    <w:rsid w:val="32E20814"/>
    <w:rsid w:val="337771AE"/>
    <w:rsid w:val="33F94067"/>
    <w:rsid w:val="34480B4A"/>
    <w:rsid w:val="34821AD6"/>
    <w:rsid w:val="35A52FD0"/>
    <w:rsid w:val="35D501BC"/>
    <w:rsid w:val="363B2715"/>
    <w:rsid w:val="36407D2B"/>
    <w:rsid w:val="36A52C9F"/>
    <w:rsid w:val="36BE3BE8"/>
    <w:rsid w:val="36DA26A7"/>
    <w:rsid w:val="36DB5CA6"/>
    <w:rsid w:val="37227431"/>
    <w:rsid w:val="3756532C"/>
    <w:rsid w:val="37B01725"/>
    <w:rsid w:val="38061044"/>
    <w:rsid w:val="381C3783"/>
    <w:rsid w:val="389E342F"/>
    <w:rsid w:val="38C5276A"/>
    <w:rsid w:val="39783C80"/>
    <w:rsid w:val="399551B1"/>
    <w:rsid w:val="39D619B3"/>
    <w:rsid w:val="3A085004"/>
    <w:rsid w:val="3A445910"/>
    <w:rsid w:val="3A557B1D"/>
    <w:rsid w:val="3A726921"/>
    <w:rsid w:val="3A765FE2"/>
    <w:rsid w:val="3B653D90"/>
    <w:rsid w:val="3B7D732B"/>
    <w:rsid w:val="3BAE3989"/>
    <w:rsid w:val="3BCC3E0F"/>
    <w:rsid w:val="3BD66A3C"/>
    <w:rsid w:val="3C424796"/>
    <w:rsid w:val="3C6B4CC5"/>
    <w:rsid w:val="3CC044ED"/>
    <w:rsid w:val="3CC25530"/>
    <w:rsid w:val="3CC52D38"/>
    <w:rsid w:val="3CD13DD3"/>
    <w:rsid w:val="3CFB2BFE"/>
    <w:rsid w:val="3D0715A3"/>
    <w:rsid w:val="3DA212CB"/>
    <w:rsid w:val="3DBB238D"/>
    <w:rsid w:val="3DBD6105"/>
    <w:rsid w:val="3E4405D4"/>
    <w:rsid w:val="3E9C5D1B"/>
    <w:rsid w:val="3F1955BD"/>
    <w:rsid w:val="3F375A43"/>
    <w:rsid w:val="3FA4757D"/>
    <w:rsid w:val="3FB6105E"/>
    <w:rsid w:val="3FE444E6"/>
    <w:rsid w:val="40583EC3"/>
    <w:rsid w:val="40642868"/>
    <w:rsid w:val="407A652F"/>
    <w:rsid w:val="40923879"/>
    <w:rsid w:val="410F592B"/>
    <w:rsid w:val="411424E0"/>
    <w:rsid w:val="41641264"/>
    <w:rsid w:val="41700BEB"/>
    <w:rsid w:val="41A35612"/>
    <w:rsid w:val="426C3C56"/>
    <w:rsid w:val="42786A9F"/>
    <w:rsid w:val="42BC1743"/>
    <w:rsid w:val="42EE53FF"/>
    <w:rsid w:val="430D368B"/>
    <w:rsid w:val="43E4263E"/>
    <w:rsid w:val="45554E75"/>
    <w:rsid w:val="459D60E3"/>
    <w:rsid w:val="45B70627"/>
    <w:rsid w:val="45CA5863"/>
    <w:rsid w:val="45E5444B"/>
    <w:rsid w:val="46362EF9"/>
    <w:rsid w:val="465515D1"/>
    <w:rsid w:val="46853538"/>
    <w:rsid w:val="468E4AE3"/>
    <w:rsid w:val="46F54E2D"/>
    <w:rsid w:val="46FD57C4"/>
    <w:rsid w:val="475C698F"/>
    <w:rsid w:val="47925F0D"/>
    <w:rsid w:val="47A143DA"/>
    <w:rsid w:val="47E81E53"/>
    <w:rsid w:val="48084421"/>
    <w:rsid w:val="48A028AB"/>
    <w:rsid w:val="48B545A9"/>
    <w:rsid w:val="495C0DBE"/>
    <w:rsid w:val="49CB1BAA"/>
    <w:rsid w:val="4A070E34"/>
    <w:rsid w:val="4A4F4589"/>
    <w:rsid w:val="4AB60164"/>
    <w:rsid w:val="4B8E06C7"/>
    <w:rsid w:val="4C570350"/>
    <w:rsid w:val="4C934BC0"/>
    <w:rsid w:val="4CFB09F8"/>
    <w:rsid w:val="4D057181"/>
    <w:rsid w:val="4D447CA9"/>
    <w:rsid w:val="4D5123C6"/>
    <w:rsid w:val="4D6B792C"/>
    <w:rsid w:val="4DA16EA9"/>
    <w:rsid w:val="4DDA060D"/>
    <w:rsid w:val="4DED1912"/>
    <w:rsid w:val="4E257ADB"/>
    <w:rsid w:val="4E353A96"/>
    <w:rsid w:val="4EAD187E"/>
    <w:rsid w:val="4EB175C0"/>
    <w:rsid w:val="4EB62E28"/>
    <w:rsid w:val="4F0911AA"/>
    <w:rsid w:val="4F78309C"/>
    <w:rsid w:val="4F7E394E"/>
    <w:rsid w:val="50A20D13"/>
    <w:rsid w:val="50AD3DB7"/>
    <w:rsid w:val="50AF7B2F"/>
    <w:rsid w:val="50B02F71"/>
    <w:rsid w:val="50C26CF2"/>
    <w:rsid w:val="50EC0D83"/>
    <w:rsid w:val="50FE0CB7"/>
    <w:rsid w:val="512D188F"/>
    <w:rsid w:val="51363DAD"/>
    <w:rsid w:val="513B5867"/>
    <w:rsid w:val="5144673C"/>
    <w:rsid w:val="519D207E"/>
    <w:rsid w:val="51EC090F"/>
    <w:rsid w:val="51FB00AC"/>
    <w:rsid w:val="52E57838"/>
    <w:rsid w:val="542B3971"/>
    <w:rsid w:val="54335EE7"/>
    <w:rsid w:val="5463310B"/>
    <w:rsid w:val="54AF45A2"/>
    <w:rsid w:val="54C142D5"/>
    <w:rsid w:val="55254864"/>
    <w:rsid w:val="553C395C"/>
    <w:rsid w:val="55BA1450"/>
    <w:rsid w:val="56037691"/>
    <w:rsid w:val="56083D8A"/>
    <w:rsid w:val="56135E24"/>
    <w:rsid w:val="564017AC"/>
    <w:rsid w:val="567B0721"/>
    <w:rsid w:val="56F97D56"/>
    <w:rsid w:val="57081D47"/>
    <w:rsid w:val="57E97DCB"/>
    <w:rsid w:val="57EF1159"/>
    <w:rsid w:val="583059FA"/>
    <w:rsid w:val="5847689F"/>
    <w:rsid w:val="58532B2C"/>
    <w:rsid w:val="58984204"/>
    <w:rsid w:val="58C47EF0"/>
    <w:rsid w:val="59285798"/>
    <w:rsid w:val="596F60AE"/>
    <w:rsid w:val="5A2A0227"/>
    <w:rsid w:val="5A7B0A82"/>
    <w:rsid w:val="5B0311A3"/>
    <w:rsid w:val="5BB5218E"/>
    <w:rsid w:val="5BCE3938"/>
    <w:rsid w:val="5BFE5E0F"/>
    <w:rsid w:val="5CAA564F"/>
    <w:rsid w:val="5E361890"/>
    <w:rsid w:val="5EDA046D"/>
    <w:rsid w:val="5EE237C6"/>
    <w:rsid w:val="5EFF7ED4"/>
    <w:rsid w:val="5F7679C4"/>
    <w:rsid w:val="5F7F2DC3"/>
    <w:rsid w:val="5FBF1411"/>
    <w:rsid w:val="601A09BC"/>
    <w:rsid w:val="60395667"/>
    <w:rsid w:val="60AA0313"/>
    <w:rsid w:val="610D33E8"/>
    <w:rsid w:val="615E35D8"/>
    <w:rsid w:val="619568CD"/>
    <w:rsid w:val="61B03707"/>
    <w:rsid w:val="61E67129"/>
    <w:rsid w:val="621A5025"/>
    <w:rsid w:val="62CC27C3"/>
    <w:rsid w:val="632223E3"/>
    <w:rsid w:val="635A7DCF"/>
    <w:rsid w:val="637D586B"/>
    <w:rsid w:val="63872EA4"/>
    <w:rsid w:val="63F26259"/>
    <w:rsid w:val="64061D04"/>
    <w:rsid w:val="640A365A"/>
    <w:rsid w:val="640E2967"/>
    <w:rsid w:val="64754794"/>
    <w:rsid w:val="64FD7B2B"/>
    <w:rsid w:val="657B402C"/>
    <w:rsid w:val="65C07C91"/>
    <w:rsid w:val="66CA526B"/>
    <w:rsid w:val="67C12792"/>
    <w:rsid w:val="67DD0FCE"/>
    <w:rsid w:val="67DE774C"/>
    <w:rsid w:val="687436E1"/>
    <w:rsid w:val="687A681D"/>
    <w:rsid w:val="68D73C6F"/>
    <w:rsid w:val="690B56C7"/>
    <w:rsid w:val="696A4D66"/>
    <w:rsid w:val="69867965"/>
    <w:rsid w:val="69935DE8"/>
    <w:rsid w:val="699456BD"/>
    <w:rsid w:val="6A4E3ABD"/>
    <w:rsid w:val="6A9A31A7"/>
    <w:rsid w:val="6AD06BC8"/>
    <w:rsid w:val="6B3929BF"/>
    <w:rsid w:val="6B3D425E"/>
    <w:rsid w:val="6B431148"/>
    <w:rsid w:val="6B56531F"/>
    <w:rsid w:val="6B575C91"/>
    <w:rsid w:val="6BB8040C"/>
    <w:rsid w:val="6C5C6966"/>
    <w:rsid w:val="6C6E5E1A"/>
    <w:rsid w:val="6C8E2897"/>
    <w:rsid w:val="6CC16156"/>
    <w:rsid w:val="6CDF30F3"/>
    <w:rsid w:val="6D282CEC"/>
    <w:rsid w:val="6D921E65"/>
    <w:rsid w:val="6DF606F4"/>
    <w:rsid w:val="6E267136"/>
    <w:rsid w:val="6E2D67FA"/>
    <w:rsid w:val="6E6E0BD2"/>
    <w:rsid w:val="6E91041D"/>
    <w:rsid w:val="6ECB392F"/>
    <w:rsid w:val="6F562B93"/>
    <w:rsid w:val="6FA348AB"/>
    <w:rsid w:val="6FB42615"/>
    <w:rsid w:val="6FBB39A3"/>
    <w:rsid w:val="6FD23894"/>
    <w:rsid w:val="6FE23626"/>
    <w:rsid w:val="70383246"/>
    <w:rsid w:val="703D260A"/>
    <w:rsid w:val="7060279C"/>
    <w:rsid w:val="70626FA0"/>
    <w:rsid w:val="70756EB2"/>
    <w:rsid w:val="70C1323B"/>
    <w:rsid w:val="7258197D"/>
    <w:rsid w:val="72C60FDD"/>
    <w:rsid w:val="72EB27F1"/>
    <w:rsid w:val="730241B0"/>
    <w:rsid w:val="731A1328"/>
    <w:rsid w:val="73587D13"/>
    <w:rsid w:val="7374029F"/>
    <w:rsid w:val="743B50B2"/>
    <w:rsid w:val="74BF5CE3"/>
    <w:rsid w:val="750977D2"/>
    <w:rsid w:val="75263FB5"/>
    <w:rsid w:val="75693EA1"/>
    <w:rsid w:val="75B25848"/>
    <w:rsid w:val="766528BB"/>
    <w:rsid w:val="768F268A"/>
    <w:rsid w:val="76C92E49"/>
    <w:rsid w:val="77617526"/>
    <w:rsid w:val="777A05E8"/>
    <w:rsid w:val="781A1483"/>
    <w:rsid w:val="781F0851"/>
    <w:rsid w:val="7820118F"/>
    <w:rsid w:val="782A7918"/>
    <w:rsid w:val="78B00E0E"/>
    <w:rsid w:val="78C94F9D"/>
    <w:rsid w:val="78FD502C"/>
    <w:rsid w:val="796450AB"/>
    <w:rsid w:val="79EB30D7"/>
    <w:rsid w:val="7A293F0A"/>
    <w:rsid w:val="7A5E24AA"/>
    <w:rsid w:val="7ACB4CB6"/>
    <w:rsid w:val="7B02692A"/>
    <w:rsid w:val="7B486307"/>
    <w:rsid w:val="7B5B603A"/>
    <w:rsid w:val="7B5C744A"/>
    <w:rsid w:val="7BA55C3B"/>
    <w:rsid w:val="7BD858DD"/>
    <w:rsid w:val="7BE9361F"/>
    <w:rsid w:val="7C6B49A3"/>
    <w:rsid w:val="7C765821"/>
    <w:rsid w:val="7C856E44"/>
    <w:rsid w:val="7CD24A22"/>
    <w:rsid w:val="7D366D5F"/>
    <w:rsid w:val="7DD722F0"/>
    <w:rsid w:val="7E32210A"/>
    <w:rsid w:val="7EB10D93"/>
    <w:rsid w:val="7EC87E8B"/>
    <w:rsid w:val="7EF70770"/>
    <w:rsid w:val="7F052E8D"/>
    <w:rsid w:val="7F270942"/>
    <w:rsid w:val="7F413799"/>
    <w:rsid w:val="7F480FCB"/>
    <w:rsid w:val="7F5D6825"/>
    <w:rsid w:val="7F671451"/>
    <w:rsid w:val="7F674918"/>
    <w:rsid w:val="7FB83A5B"/>
    <w:rsid w:val="7FBA3C77"/>
    <w:rsid w:val="7FEC7BA9"/>
    <w:rsid w:val="7FF6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autoRedefine/>
    <w:unhideWhenUsed/>
    <w:qFormat/>
    <w:uiPriority w:val="9"/>
    <w:pPr>
      <w:keepNext/>
      <w:keepLines/>
      <w:widowControl/>
      <w:adjustRightInd w:val="0"/>
      <w:snapToGrid w:val="0"/>
      <w:spacing w:line="360" w:lineRule="auto"/>
      <w:jc w:val="left"/>
      <w:outlineLvl w:val="1"/>
    </w:pPr>
    <w:rPr>
      <w:rFonts w:ascii="宋体" w:hAnsi="宋体" w:eastAsia="宋体" w:cs="宋体"/>
      <w:b/>
      <w:bCs/>
      <w:kern w:val="0"/>
      <w:sz w:val="28"/>
      <w:szCs w:val="28"/>
    </w:rPr>
  </w:style>
  <w:style w:type="paragraph" w:styleId="4">
    <w:name w:val="heading 3"/>
    <w:basedOn w:val="1"/>
    <w:next w:val="1"/>
    <w:link w:val="25"/>
    <w:autoRedefine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6"/>
    <w:autoRedefine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7"/>
    <w:basedOn w:val="1"/>
    <w:next w:val="1"/>
    <w:unhideWhenUsed/>
    <w:qFormat/>
    <w:uiPriority w:val="0"/>
    <w:pPr>
      <w:keepNext/>
      <w:keepLines/>
      <w:spacing w:before="260" w:after="120" w:line="320" w:lineRule="auto"/>
      <w:outlineLvl w:val="6"/>
    </w:pPr>
    <w:rPr>
      <w:rFonts w:ascii="Times New Roman" w:hAnsi="Times New Roman" w:eastAsia="楷体" w:cstheme="minorBidi"/>
      <w:b/>
      <w:bCs/>
      <w:sz w:val="24"/>
      <w:szCs w:val="24"/>
    </w:rPr>
  </w:style>
  <w:style w:type="character" w:default="1" w:styleId="19">
    <w:name w:val="Default Paragraph Font"/>
    <w:autoRedefine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8">
    <w:name w:val="Body Text Indent"/>
    <w:basedOn w:val="1"/>
    <w:next w:val="9"/>
    <w:qFormat/>
    <w:uiPriority w:val="0"/>
    <w:pPr>
      <w:spacing w:after="120" w:afterLines="0" w:afterAutospacing="0"/>
      <w:ind w:left="420" w:leftChars="200"/>
    </w:pPr>
  </w:style>
  <w:style w:type="paragraph" w:customStyle="1" w:styleId="9">
    <w:name w:val="样式 正文文本缩进 + 行距: 1.5 倍行距"/>
    <w:basedOn w:val="1"/>
    <w:qFormat/>
    <w:uiPriority w:val="0"/>
    <w:pPr>
      <w:spacing w:after="120"/>
      <w:ind w:left="90" w:leftChars="32" w:firstLine="560"/>
    </w:pPr>
    <w:rPr>
      <w:rFonts w:cs="宋体"/>
    </w:rPr>
  </w:style>
  <w:style w:type="paragraph" w:styleId="10">
    <w:name w:val="footer"/>
    <w:basedOn w:val="1"/>
    <w:link w:val="2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Subtitle"/>
    <w:basedOn w:val="1"/>
    <w:next w:val="1"/>
    <w:link w:val="31"/>
    <w:autoRedefine/>
    <w:qFormat/>
    <w:uiPriority w:val="0"/>
    <w:pPr>
      <w:spacing w:line="400" w:lineRule="exact"/>
      <w:jc w:val="center"/>
    </w:pPr>
    <w:rPr>
      <w:rFonts w:ascii="Calibri" w:hAnsi="Calibri" w:eastAsia="楷体" w:cs="Times New Roman"/>
      <w:b/>
      <w:bCs/>
      <w:kern w:val="28"/>
      <w:szCs w:val="32"/>
    </w:rPr>
  </w:style>
  <w:style w:type="paragraph" w:styleId="1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5"/>
    <w:next w:val="1"/>
    <w:link w:val="27"/>
    <w:qFormat/>
    <w:uiPriority w:val="10"/>
    <w:pPr>
      <w:adjustRightInd w:val="0"/>
      <w:snapToGrid w:val="0"/>
      <w:spacing w:before="0" w:after="0" w:line="360" w:lineRule="auto"/>
      <w:jc w:val="center"/>
    </w:pPr>
    <w:rPr>
      <w:rFonts w:ascii="黑体" w:hAnsi="黑体" w:eastAsia="黑体" w:cs="黑体"/>
      <w:sz w:val="24"/>
      <w:szCs w:val="24"/>
    </w:rPr>
  </w:style>
  <w:style w:type="paragraph" w:styleId="15">
    <w:name w:val="Body Text First Indent"/>
    <w:basedOn w:val="7"/>
    <w:autoRedefine/>
    <w:qFormat/>
    <w:uiPriority w:val="0"/>
    <w:pPr>
      <w:ind w:firstLine="420" w:firstLineChars="100"/>
    </w:pPr>
  </w:style>
  <w:style w:type="paragraph" w:styleId="16">
    <w:name w:val="Body Text First Indent 2"/>
    <w:basedOn w:val="8"/>
    <w:next w:val="1"/>
    <w:qFormat/>
    <w:uiPriority w:val="0"/>
    <w:pPr>
      <w:ind w:firstLine="420" w:firstLineChars="200"/>
    </w:pPr>
  </w:style>
  <w:style w:type="table" w:styleId="18">
    <w:name w:val="Table Grid"/>
    <w:basedOn w:val="17"/>
    <w:autoRedefine/>
    <w:qFormat/>
    <w:uiPriority w:val="59"/>
    <w:rPr>
      <w:rFonts w:ascii="Calibri" w:hAnsi="Calibri" w:eastAsia="微软雅黑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Hyperlink"/>
    <w:basedOn w:val="19"/>
    <w:qFormat/>
    <w:uiPriority w:val="0"/>
    <w:rPr>
      <w:color w:val="0000FF"/>
      <w:u w:val="single"/>
    </w:rPr>
  </w:style>
  <w:style w:type="paragraph" w:customStyle="1" w:styleId="22">
    <w:name w:val="0正文"/>
    <w:basedOn w:val="1"/>
    <w:qFormat/>
    <w:uiPriority w:val="0"/>
    <w:pPr>
      <w:ind w:firstLine="480" w:firstLineChars="200"/>
    </w:pPr>
  </w:style>
  <w:style w:type="character" w:customStyle="1" w:styleId="23">
    <w:name w:val="标题 2 字符"/>
    <w:basedOn w:val="19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4">
    <w:name w:val="标题 2 字符1"/>
    <w:link w:val="3"/>
    <w:autoRedefine/>
    <w:qFormat/>
    <w:uiPriority w:val="9"/>
    <w:rPr>
      <w:rFonts w:ascii="宋体" w:hAnsi="宋体" w:eastAsia="宋体" w:cs="宋体"/>
      <w:b/>
      <w:bCs/>
      <w:kern w:val="0"/>
      <w:sz w:val="28"/>
      <w:szCs w:val="28"/>
    </w:rPr>
  </w:style>
  <w:style w:type="character" w:customStyle="1" w:styleId="25">
    <w:name w:val="标题 3 字符"/>
    <w:basedOn w:val="19"/>
    <w:link w:val="4"/>
    <w:autoRedefine/>
    <w:semiHidden/>
    <w:qFormat/>
    <w:uiPriority w:val="9"/>
    <w:rPr>
      <w:b/>
      <w:bCs/>
      <w:sz w:val="32"/>
      <w:szCs w:val="32"/>
    </w:rPr>
  </w:style>
  <w:style w:type="character" w:customStyle="1" w:styleId="26">
    <w:name w:val="标题 4 字符"/>
    <w:basedOn w:val="19"/>
    <w:link w:val="5"/>
    <w:autoRedefine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7">
    <w:name w:val="标题 字符"/>
    <w:basedOn w:val="19"/>
    <w:link w:val="14"/>
    <w:autoRedefine/>
    <w:qFormat/>
    <w:uiPriority w:val="10"/>
    <w:rPr>
      <w:rFonts w:ascii="黑体" w:hAnsi="黑体" w:eastAsia="黑体" w:cs="黑体"/>
      <w:b/>
      <w:bCs/>
      <w:sz w:val="24"/>
      <w:szCs w:val="24"/>
    </w:rPr>
  </w:style>
  <w:style w:type="character" w:customStyle="1" w:styleId="28">
    <w:name w:val="页眉 字符"/>
    <w:basedOn w:val="19"/>
    <w:link w:val="11"/>
    <w:autoRedefine/>
    <w:qFormat/>
    <w:uiPriority w:val="99"/>
    <w:rPr>
      <w:sz w:val="18"/>
      <w:szCs w:val="18"/>
    </w:rPr>
  </w:style>
  <w:style w:type="character" w:customStyle="1" w:styleId="29">
    <w:name w:val="页脚 字符"/>
    <w:basedOn w:val="19"/>
    <w:link w:val="10"/>
    <w:autoRedefine/>
    <w:qFormat/>
    <w:uiPriority w:val="99"/>
    <w:rPr>
      <w:sz w:val="18"/>
      <w:szCs w:val="18"/>
    </w:rPr>
  </w:style>
  <w:style w:type="character" w:customStyle="1" w:styleId="30">
    <w:name w:val="标题 1 字符"/>
    <w:basedOn w:val="19"/>
    <w:link w:val="2"/>
    <w:autoRedefine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31">
    <w:name w:val="副标题 字符"/>
    <w:basedOn w:val="19"/>
    <w:link w:val="12"/>
    <w:autoRedefine/>
    <w:qFormat/>
    <w:uiPriority w:val="0"/>
    <w:rPr>
      <w:rFonts w:ascii="Calibri" w:hAnsi="Calibri" w:eastAsia="楷体" w:cs="Times New Roman"/>
      <w:b/>
      <w:bCs/>
      <w:kern w:val="28"/>
      <w:szCs w:val="32"/>
    </w:rPr>
  </w:style>
  <w:style w:type="paragraph" w:styleId="3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33">
    <w:name w:val="普通(网站)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4">
    <w:name w:val="普通(网站) Char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5">
    <w:name w:val="+正文"/>
    <w:basedOn w:val="1"/>
    <w:qFormat/>
    <w:uiPriority w:val="99"/>
    <w:pPr>
      <w:spacing w:line="360" w:lineRule="auto"/>
      <w:ind w:firstLine="200" w:firstLineChars="200"/>
    </w:pPr>
    <w:rPr>
      <w:rFonts w:ascii="Times New Roman" w:hAnsi="Times New Roman" w:cs="Times New Roman"/>
      <w:sz w:val="24"/>
      <w:szCs w:val="24"/>
    </w:rPr>
  </w:style>
  <w:style w:type="paragraph" w:customStyle="1" w:styleId="36">
    <w:name w:val="表格内容"/>
    <w:basedOn w:val="1"/>
    <w:qFormat/>
    <w:uiPriority w:val="99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kern w:val="0"/>
    </w:rPr>
  </w:style>
  <w:style w:type="paragraph" w:customStyle="1" w:styleId="37">
    <w:name w:val="表格内容-居中"/>
    <w:basedOn w:val="1"/>
    <w:qFormat/>
    <w:uiPriority w:val="99"/>
    <w:pPr>
      <w:widowControl/>
      <w:overflowPunct w:val="0"/>
      <w:autoSpaceDE w:val="0"/>
      <w:autoSpaceDN w:val="0"/>
      <w:adjustRightInd w:val="0"/>
      <w:spacing w:before="40" w:after="40" w:line="300" w:lineRule="exact"/>
      <w:jc w:val="center"/>
      <w:textAlignment w:val="baseline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38">
    <w:name w:val="font3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bscript"/>
    </w:rPr>
  </w:style>
  <w:style w:type="character" w:customStyle="1" w:styleId="39">
    <w:name w:val="font2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character" w:customStyle="1" w:styleId="40">
    <w:name w:val="font4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perscript"/>
    </w:rPr>
  </w:style>
  <w:style w:type="character" w:customStyle="1" w:styleId="41">
    <w:name w:val="font1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paragraph" w:customStyle="1" w:styleId="42">
    <w:name w:val="EndNote Bibliography"/>
    <w:basedOn w:val="1"/>
    <w:autoRedefine/>
    <w:qFormat/>
    <w:uiPriority w:val="0"/>
    <w:pPr>
      <w:ind w:firstLine="200" w:firstLineChars="200"/>
      <w:jc w:val="left"/>
    </w:pPr>
    <w:rPr>
      <w:sz w:val="20"/>
    </w:rPr>
  </w:style>
  <w:style w:type="paragraph" w:customStyle="1" w:styleId="43">
    <w:name w:val="列出段落1"/>
    <w:basedOn w:val="1"/>
    <w:qFormat/>
    <w:uiPriority w:val="34"/>
    <w:pPr>
      <w:ind w:firstLine="420" w:firstLineChars="200"/>
    </w:pPr>
  </w:style>
  <w:style w:type="paragraph" w:customStyle="1" w:styleId="44">
    <w:name w:val="正文文本1"/>
    <w:basedOn w:val="1"/>
    <w:qFormat/>
    <w:uiPriority w:val="0"/>
    <w:pPr>
      <w:shd w:val="clear" w:color="auto" w:fill="FFFFFF"/>
      <w:spacing w:line="610" w:lineRule="exact"/>
      <w:jc w:val="center"/>
    </w:pPr>
    <w:rPr>
      <w:rFonts w:ascii="宋体" w:hAnsi="宋体" w:eastAsia="宋体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2950</Words>
  <Characters>2975</Characters>
  <Lines>35</Lines>
  <Paragraphs>9</Paragraphs>
  <TotalTime>0</TotalTime>
  <ScaleCrop>false</ScaleCrop>
  <LinksUpToDate>false</LinksUpToDate>
  <CharactersWithSpaces>2987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2022-09-27T07:43:00Z</dcterms:created>
  <dc:creator>Liao KangCheng</dc:creator>
  <cp:lastModifiedBy>白海丹</cp:lastModifiedBy>
  <dcterms:modified xsi:type="dcterms:W3CDTF">2026-06-11T08:32:10Z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012170A0420347A89154D3512890171D_12</vt:lpwstr>
  </property>
  <property fmtid="{D5CDD505-2E9C-101B-9397-08002B2CF9AE}" pid="4" name="KSOTemplateDocerSaveRecord">
    <vt:lpwstr>eyJoZGlkIjoiYjVlOTE0MGRkN2E0MWU0MDEyNjJkNTdlYmU3ZGQ5YzUiLCJ1c2VySWQiOiI0NDQ3MDkxMjgifQ==</vt:lpwstr>
  </property>
</Properties>
</file>