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30680BCE">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硫磺制酸装置焚硫炉挡火墙构型对燃烧</w:t>
      </w:r>
    </w:p>
    <w:p w14:paraId="6E709022">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性能影响研究</w:t>
      </w:r>
    </w:p>
    <w:p w14:paraId="7169E703">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叶建强 毕晓云 简和宁 李文涛 邹丰耘</w:t>
      </w:r>
    </w:p>
    <w:p w14:paraId="374E8348">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云南三环中化化肥有限公司</w:t>
      </w:r>
    </w:p>
    <w:p w14:paraId="5E912F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sz w:val="24"/>
          <w:szCs w:val="24"/>
          <w:lang w:val="en-US" w:eastAsia="zh-CN"/>
        </w:rPr>
      </w:pPr>
    </w:p>
    <w:p w14:paraId="110F746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摘要：</w:t>
      </w:r>
      <w:r>
        <w:rPr>
          <w:rFonts w:hint="eastAsia" w:ascii="宋体" w:hAnsi="宋体" w:eastAsia="宋体" w:cs="宋体"/>
          <w:b w:val="0"/>
          <w:bCs/>
          <w:sz w:val="21"/>
          <w:szCs w:val="21"/>
          <w:lang w:val="en-US" w:eastAsia="zh-CN"/>
        </w:rPr>
        <w:t>硫酸作为支撑现代工业体系的关键基础化工原料，凭借其庞大的生产与应用规模，已成为衡量化工产业发展水平的重要标志，在国民经济建设中占据不可替代的核心地位。在硫酸生产领域，硫磺制酸工艺凭借流程简洁、能耗优势显著、污染物排放可控性强等特点，已成为行业内应用最为广泛的主导生产技术。焚硫炉作为该工艺中核心高温反应设备，炉内燃烧工况的稳定程度直接关系到整套装置的生产效能、能源消耗水平以及长周期运行；炉内设置的阻火隔墙，是优化炉内气流分布、提升液态硫与助燃空气混合传质效率、维持炉膛燃烧环境稳定的核心结构部件。本文从挡火墙的作用机理出发，系统阐述了不同构型在性能方面的差异，基于生产实际揭示传统垂直弓形挡墙普遍存在共性问题，并在此基础上探讨多条结构优化途径，将为同类设备的改进设计及装置长周期安全稳定运行提供理论依据与工程实践参考。</w:t>
      </w:r>
    </w:p>
    <w:p w14:paraId="5072B21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关键词：</w:t>
      </w:r>
      <w:r>
        <w:rPr>
          <w:rFonts w:hint="eastAsia" w:ascii="宋体" w:hAnsi="宋体" w:eastAsia="宋体" w:cs="宋体"/>
          <w:b w:val="0"/>
          <w:bCs/>
          <w:sz w:val="21"/>
          <w:szCs w:val="21"/>
          <w:lang w:val="en-US" w:eastAsia="zh-CN"/>
        </w:rPr>
        <w:t>硫磺制酸 焚硫炉 挡火墙 性能差异 结构优化 实践参考</w:t>
      </w:r>
    </w:p>
    <w:p w14:paraId="79C15D2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p>
    <w:p w14:paraId="5A9FA6A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1前</w:t>
      </w:r>
      <w:r>
        <w:rPr>
          <w:rFonts w:hint="eastAsia" w:ascii="宋体" w:hAnsi="宋体" w:eastAsia="宋体" w:cs="宋体"/>
          <w:b/>
          <w:bCs/>
          <w:sz w:val="21"/>
          <w:szCs w:val="21"/>
          <w:lang w:val="en-US" w:eastAsia="zh-CN"/>
        </w:rPr>
        <w:t>言</w:t>
      </w:r>
    </w:p>
    <w:p w14:paraId="4F63C77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硫酸是现代工业的“基石工艺”，其产量是衡量国家工业水平的核心指标，硫磺制酸的产能与稳定性直接决定工业基础原料安全。焚硫炉是硫磺制酸装置的核心关键设备，承担液态或固态硫磺充分燃烧、稳定生成二氧化硫炉气的核心任务，为后续转化、干吸工序提供合格原料气；其燃烧效率、温度压力控制与炉气纯净度，直接决定整套装置的转化率、产能负荷、能耗水平及尾气排放指标，是保障硫磺制酸连续稳定运行、产品质量达标与装置安全经济生产的首要基础设备。</w:t>
      </w:r>
    </w:p>
    <w:p w14:paraId="21E4070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在焚硫炉的结构设计中，挡火墙是调控炉内气流运动、强化湍流混合、延长火焰停留时间的关键构件，通过改变气流流动轨迹，打破局部涡流与死区，促进液硫雾滴与空气的充分接触，从而提升燃烧反应的充分性。焚硫炉挡火墙是炉内关键内构设施，能够阻隔高温火焰直射、合理分隔炉膛空间，延长硫磺停留时间，促进液硫充分雾化混合与完全燃烧，避免局部高温冲刷炉体衬里造成损坏，均匀稳定炉膛温度与烟气气流分布，减少未完全燃烧的硫单质及杂质带入后续工序，有效保障焚硫炉长期安全运行、提升二氧化硫烟气品质，同时降低设备腐蚀与检修频次，为整套硫磺制酸装置稳定高效生产筑牢基础。</w:t>
      </w:r>
    </w:p>
    <w:p w14:paraId="6AB0D9D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近年来，不少研究者围绕挡火墙的选型与优化开展了大量工作。刘耀倩</w:t>
      </w:r>
      <w:r>
        <w:rPr>
          <w:rFonts w:hint="eastAsia" w:ascii="宋体" w:hAnsi="宋体" w:eastAsia="宋体" w:cs="宋体"/>
          <w:b w:val="0"/>
          <w:bCs w:val="0"/>
          <w:color w:val="auto"/>
          <w:sz w:val="21"/>
          <w:szCs w:val="21"/>
          <w:vertAlign w:val="superscript"/>
          <w:lang w:val="en-US" w:eastAsia="zh-CN"/>
        </w:rPr>
        <w:t>[1]</w:t>
      </w:r>
      <w:r>
        <w:rPr>
          <w:rFonts w:hint="eastAsia" w:ascii="宋体" w:hAnsi="宋体" w:eastAsia="宋体" w:cs="宋体"/>
          <w:color w:val="auto"/>
          <w:sz w:val="21"/>
          <w:szCs w:val="21"/>
          <w:lang w:val="en-US" w:eastAsia="zh-CN"/>
        </w:rPr>
        <w:t>借助ANSYS-Fluent平台对比了格子挡墙与弓形挡墙的温度场、速度场，结果显示弓形挡墙出口SO₂体积分数可达10.65%，比格子挡墙高出2.44%，且流速与温度的分布更为均匀。马瑞涵等</w:t>
      </w:r>
      <w:r>
        <w:rPr>
          <w:rFonts w:hint="eastAsia" w:ascii="宋体" w:hAnsi="宋体" w:eastAsia="宋体" w:cs="宋体"/>
          <w:b w:val="0"/>
          <w:bCs w:val="0"/>
          <w:color w:val="auto"/>
          <w:sz w:val="21"/>
          <w:szCs w:val="21"/>
          <w:vertAlign w:val="superscript"/>
          <w:lang w:val="en-US" w:eastAsia="zh-CN"/>
        </w:rPr>
        <w:t>[2]</w:t>
      </w:r>
      <w:r>
        <w:rPr>
          <w:rFonts w:hint="eastAsia" w:ascii="宋体" w:hAnsi="宋体" w:eastAsia="宋体" w:cs="宋体"/>
          <w:color w:val="auto"/>
          <w:sz w:val="21"/>
          <w:szCs w:val="21"/>
          <w:lang w:val="en-US" w:eastAsia="zh-CN"/>
        </w:rPr>
        <w:t>分析了焚硫炉壳体局部超温的成因，指出不合理的挡墙设计是炉内局部过热的主要诱因之一，并建议将垂直挡墙向左右两侧各偏转10°。田旭</w:t>
      </w:r>
      <w:r>
        <w:rPr>
          <w:rFonts w:hint="eastAsia" w:ascii="宋体" w:hAnsi="宋体" w:eastAsia="宋体" w:cs="宋体"/>
          <w:b w:val="0"/>
          <w:bCs w:val="0"/>
          <w:color w:val="auto"/>
          <w:sz w:val="21"/>
          <w:szCs w:val="21"/>
          <w:vertAlign w:val="superscript"/>
          <w:lang w:val="en-US" w:eastAsia="zh-CN"/>
        </w:rPr>
        <w:t>[3]</w:t>
      </w:r>
      <w:r>
        <w:rPr>
          <w:rFonts w:hint="eastAsia" w:ascii="宋体" w:hAnsi="宋体" w:eastAsia="宋体" w:cs="宋体"/>
          <w:color w:val="auto"/>
          <w:sz w:val="21"/>
          <w:szCs w:val="21"/>
          <w:lang w:val="en-US" w:eastAsia="zh-CN"/>
        </w:rPr>
        <w:t>详细说明了焚硫炉的设计要点，特别强调了挡墙应嵌入砌体中并预留膨胀缝。冯俊杰等</w:t>
      </w:r>
      <w:r>
        <w:rPr>
          <w:rFonts w:hint="eastAsia" w:ascii="宋体" w:hAnsi="宋体" w:eastAsia="宋体" w:cs="宋体"/>
          <w:color w:val="auto"/>
          <w:sz w:val="21"/>
          <w:szCs w:val="21"/>
          <w:vertAlign w:val="superscript"/>
          <w:lang w:val="en-US" w:eastAsia="zh-CN"/>
        </w:rPr>
        <w:t>[4]</w:t>
      </w:r>
      <w:r>
        <w:rPr>
          <w:rFonts w:hint="eastAsia" w:ascii="宋体" w:hAnsi="宋体" w:eastAsia="宋体" w:cs="宋体"/>
          <w:color w:val="auto"/>
          <w:sz w:val="21"/>
          <w:szCs w:val="21"/>
          <w:lang w:val="en-US" w:eastAsia="zh-CN"/>
        </w:rPr>
        <w:t>对比了耐火材料喷射浇注与传统砌砖工艺在焚硫炉及前烟箱中的应用效果，证明喷射浇注具有施工周期短、保温性好、便于维护等优点。申兴海等</w:t>
      </w:r>
      <w:r>
        <w:rPr>
          <w:rFonts w:hint="eastAsia" w:ascii="宋体" w:hAnsi="宋体" w:eastAsia="宋体" w:cs="宋体"/>
          <w:color w:val="auto"/>
          <w:sz w:val="21"/>
          <w:szCs w:val="21"/>
          <w:vertAlign w:val="superscript"/>
          <w:lang w:val="en-US" w:eastAsia="zh-CN"/>
        </w:rPr>
        <w:t>[6]</w:t>
      </w:r>
      <w:r>
        <w:rPr>
          <w:rFonts w:hint="eastAsia" w:ascii="宋体" w:hAnsi="宋体" w:eastAsia="宋体" w:cs="宋体"/>
          <w:color w:val="auto"/>
          <w:sz w:val="21"/>
          <w:szCs w:val="21"/>
          <w:lang w:val="en-US" w:eastAsia="zh-CN"/>
        </w:rPr>
        <w:t>也对焚硫炉设计改进进行了综合总结。</w:t>
      </w:r>
    </w:p>
    <w:p w14:paraId="25817E1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本文在综合上述文献的基础上，从挡火墙的工作原理出发，系统比较各类结构的技术特点，深入剖析传统“上下”交替垂直弓形挡墙的缺陷，并重点探讨以左右倾斜10°非对称布置为核心的优化方案及其工程效果。</w:t>
      </w:r>
    </w:p>
    <w:p w14:paraId="1180EFB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2挡火墙工作原理与结构类型</w:t>
      </w:r>
    </w:p>
    <w:p w14:paraId="6E77141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2.1工作机理与主要功能</w:t>
      </w:r>
    </w:p>
    <w:p w14:paraId="3E798FD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焚硫炉内部燃烧属于典型气液两相湍流反应过程，液态硫磺经由磺枪雾化分散为微米级微细颗粒，同预热干燥后的空气相互混合，在炉膛内部发生放热反应，焚硫炉结构简图如图1所示。</w:t>
      </w:r>
    </w:p>
    <w:p w14:paraId="32C4A03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i w:val="0"/>
          <w:color w:val="auto"/>
          <w:sz w:val="21"/>
          <w:szCs w:val="21"/>
          <w:lang w:val="en-US" w:eastAsia="zh-CN"/>
        </w:rPr>
      </w:pPr>
      <m:oMathPara>
        <m:oMath>
          <m:r>
            <m:rPr>
              <m:sty m:val="p"/>
            </m:rPr>
            <w:rPr>
              <w:rFonts w:hint="eastAsia" w:ascii="Cambria Math" w:hAnsi="Cambria Math" w:eastAsia="宋体" w:cs="宋体"/>
              <w:color w:val="auto"/>
              <w:sz w:val="21"/>
              <w:szCs w:val="21"/>
              <w:lang w:val="en-US" w:eastAsia="zh-CN"/>
            </w:rPr>
            <m:t>S</m:t>
          </m:r>
          <m:r>
            <m:rPr>
              <m:sty m:val="p"/>
            </m:rPr>
            <w:rPr>
              <w:rFonts w:hint="eastAsia" w:ascii="Cambria Math" w:hAnsi="Cambria Math" w:eastAsia="宋体" w:cs="宋体"/>
              <w:color w:val="auto"/>
              <w:sz w:val="21"/>
              <w:szCs w:val="21"/>
              <w:lang w:val="en-US"/>
            </w:rPr>
            <m:t>+</m:t>
          </m:r>
          <m:sSub>
            <m:sSubPr>
              <m:ctrlPr>
                <w:rPr>
                  <w:rFonts w:hint="eastAsia" w:ascii="Cambria Math" w:hAnsi="Cambria Math" w:eastAsia="宋体" w:cs="宋体"/>
                  <w:color w:val="auto"/>
                  <w:sz w:val="21"/>
                  <w:szCs w:val="21"/>
                  <w:lang w:val="en-US"/>
                </w:rPr>
              </m:ctrlPr>
            </m:sSubPr>
            <m:e>
              <m:r>
                <m:rPr>
                  <m:sty m:val="p"/>
                </m:rPr>
                <w:rPr>
                  <w:rFonts w:hint="eastAsia" w:ascii="Cambria Math" w:hAnsi="Cambria Math" w:eastAsia="宋体" w:cs="宋体"/>
                  <w:color w:val="auto"/>
                  <w:sz w:val="21"/>
                  <w:szCs w:val="21"/>
                  <w:lang w:val="en-US"/>
                </w:rPr>
                <m:t>O</m:t>
              </m:r>
              <m:ctrlPr>
                <w:rPr>
                  <w:rFonts w:hint="eastAsia" w:ascii="Cambria Math" w:hAnsi="Cambria Math" w:eastAsia="宋体" w:cs="宋体"/>
                  <w:color w:val="auto"/>
                  <w:sz w:val="21"/>
                  <w:szCs w:val="21"/>
                  <w:lang w:val="en-US"/>
                </w:rPr>
              </m:ctrlPr>
            </m:e>
            <m:sub>
              <m:r>
                <m:rPr/>
                <w:rPr>
                  <w:rFonts w:hint="eastAsia" w:ascii="Cambria Math" w:hAnsi="Cambria Math" w:eastAsia="宋体" w:cs="宋体"/>
                  <w:color w:val="auto"/>
                  <w:sz w:val="21"/>
                  <w:szCs w:val="21"/>
                  <w:lang w:val="en-US"/>
                </w:rPr>
                <m:t>2</m:t>
              </m:r>
              <m:ctrlPr>
                <w:rPr>
                  <w:rFonts w:hint="eastAsia" w:ascii="Cambria Math" w:hAnsi="Cambria Math" w:eastAsia="宋体" w:cs="宋体"/>
                  <w:color w:val="auto"/>
                  <w:sz w:val="21"/>
                  <w:szCs w:val="21"/>
                  <w:lang w:val="en-US"/>
                </w:rPr>
              </m:ctrlPr>
            </m:sub>
          </m:sSub>
          <m:r>
            <m:rPr>
              <m:sty m:val="p"/>
            </m:rPr>
            <w:rPr>
              <w:rFonts w:hint="eastAsia" w:ascii="Cambria Math" w:hAnsi="Cambria Math" w:eastAsia="宋体" w:cs="宋体"/>
              <w:color w:val="auto"/>
              <w:sz w:val="21"/>
              <w:szCs w:val="21"/>
              <w:lang w:val="en-US"/>
            </w:rPr>
            <m:t>→</m:t>
          </m:r>
          <m:r>
            <m:rPr>
              <m:sty m:val="p"/>
            </m:rPr>
            <w:rPr>
              <w:rFonts w:hint="eastAsia" w:ascii="Cambria Math" w:hAnsi="Cambria Math" w:eastAsia="宋体" w:cs="宋体"/>
              <w:color w:val="auto"/>
              <w:sz w:val="21"/>
              <w:szCs w:val="21"/>
              <w:lang w:val="en-US" w:eastAsia="zh-CN"/>
            </w:rPr>
            <m:t>S</m:t>
          </m:r>
          <m:sSub>
            <m:sSubPr>
              <m:ctrlPr>
                <w:rPr>
                  <w:rFonts w:hint="eastAsia" w:ascii="Cambria Math" w:hAnsi="Cambria Math" w:eastAsia="宋体" w:cs="宋体"/>
                  <w:color w:val="auto"/>
                  <w:sz w:val="21"/>
                  <w:szCs w:val="21"/>
                  <w:lang w:val="en-US"/>
                </w:rPr>
              </m:ctrlPr>
            </m:sSubPr>
            <m:e>
              <m:r>
                <m:rPr>
                  <m:sty m:val="p"/>
                </m:rPr>
                <w:rPr>
                  <w:rFonts w:hint="eastAsia" w:ascii="Cambria Math" w:hAnsi="Cambria Math" w:eastAsia="宋体" w:cs="宋体"/>
                  <w:color w:val="auto"/>
                  <w:sz w:val="21"/>
                  <w:szCs w:val="21"/>
                  <w:lang w:val="en-US"/>
                </w:rPr>
                <m:t>O</m:t>
              </m:r>
              <m:ctrlPr>
                <w:rPr>
                  <w:rFonts w:hint="eastAsia" w:ascii="Cambria Math" w:hAnsi="Cambria Math" w:eastAsia="宋体" w:cs="宋体"/>
                  <w:color w:val="auto"/>
                  <w:sz w:val="21"/>
                  <w:szCs w:val="21"/>
                  <w:lang w:val="en-US"/>
                </w:rPr>
              </m:ctrlPr>
            </m:e>
            <m:sub>
              <m:r>
                <m:rPr/>
                <w:rPr>
                  <w:rFonts w:hint="eastAsia" w:ascii="Cambria Math" w:hAnsi="Cambria Math" w:eastAsia="宋体" w:cs="宋体"/>
                  <w:color w:val="auto"/>
                  <w:sz w:val="21"/>
                  <w:szCs w:val="21"/>
                  <w:lang w:val="en-US"/>
                </w:rPr>
                <m:t>2</m:t>
              </m:r>
              <m:ctrlPr>
                <w:rPr>
                  <w:rFonts w:hint="eastAsia" w:ascii="Cambria Math" w:hAnsi="Cambria Math" w:eastAsia="宋体" w:cs="宋体"/>
                  <w:color w:val="auto"/>
                  <w:sz w:val="21"/>
                  <w:szCs w:val="21"/>
                  <w:lang w:val="en-US"/>
                </w:rPr>
              </m:ctrlPr>
            </m:sub>
          </m:sSub>
          <m:r>
            <m:rPr>
              <m:sty m:val="p"/>
            </m:rPr>
            <w:rPr>
              <w:rFonts w:hint="eastAsia" w:ascii="Cambria Math" w:hAnsi="Cambria Math" w:eastAsia="宋体" w:cs="宋体"/>
              <w:color w:val="auto"/>
              <w:sz w:val="21"/>
              <w:szCs w:val="21"/>
              <w:lang w:val="en-US"/>
            </w:rPr>
            <m:t>+</m:t>
          </m:r>
          <m:r>
            <m:rPr>
              <m:sty m:val="p"/>
            </m:rPr>
            <w:rPr>
              <w:rFonts w:hint="eastAsia" w:ascii="Cambria Math" w:hAnsi="Cambria Math" w:eastAsia="宋体" w:cs="宋体"/>
              <w:color w:val="auto"/>
              <w:sz w:val="21"/>
              <w:szCs w:val="21"/>
              <w:lang w:val="en-US" w:eastAsia="zh-CN"/>
            </w:rPr>
            <m:t>Q</m:t>
          </m:r>
        </m:oMath>
      </m:oMathPara>
    </w:p>
    <w:p w14:paraId="58EE97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5271770" cy="1717040"/>
            <wp:effectExtent l="0" t="0" r="5080" b="16510"/>
            <wp:docPr id="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6"/>
                    <pic:cNvPicPr>
                      <a:picLocks noChangeAspect="1"/>
                    </pic:cNvPicPr>
                  </pic:nvPicPr>
                  <pic:blipFill>
                    <a:blip r:embed="rId4"/>
                    <a:stretch>
                      <a:fillRect/>
                    </a:stretch>
                  </pic:blipFill>
                  <pic:spPr>
                    <a:xfrm>
                      <a:off x="0" y="0"/>
                      <a:ext cx="5271770" cy="1717040"/>
                    </a:xfrm>
                    <a:prstGeom prst="rect">
                      <a:avLst/>
                    </a:prstGeom>
                    <a:noFill/>
                    <a:ln w="9525">
                      <a:noFill/>
                    </a:ln>
                  </pic:spPr>
                </pic:pic>
              </a:graphicData>
            </a:graphic>
          </wp:inline>
        </w:drawing>
      </w:r>
    </w:p>
    <w:p w14:paraId="0E8C127D">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图1 焚硫炉的结构简图</w:t>
      </w:r>
    </w:p>
    <w:p w14:paraId="048CE36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燃烧反应的充分程度主要受液硫雾滴与空气的混合均匀程度、火焰在炉内的停留时间和炉膛温度场的分布均匀性三大方面影响，其核心工作原理与主要功能可归纳为四个方面：</w:t>
      </w:r>
    </w:p>
    <w:p w14:paraId="5F6CDF4B">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kern w:val="2"/>
          <w:sz w:val="21"/>
          <w:szCs w:val="21"/>
          <w:lang w:val="en-US" w:eastAsia="zh-CN" w:bidi="ar-SA"/>
        </w:rPr>
        <w:t>调控气流走向并增强湍流强度</w:t>
      </w:r>
      <w:r>
        <w:rPr>
          <w:rFonts w:hint="eastAsia" w:ascii="宋体" w:hAnsi="宋体" w:eastAsia="宋体" w:cs="宋体"/>
          <w:color w:val="auto"/>
          <w:sz w:val="21"/>
          <w:szCs w:val="21"/>
          <w:lang w:val="en-US" w:eastAsia="zh-CN"/>
        </w:rPr>
        <w:t>。挡火墙作为阻流结构嵌入炉内流场，改变原本沿轴向直线推进的气流运动轨迹，促使流体产生绕流折返、碰壁换向及边界层脱离效应，打破平稳层流状态并形成高强度紊流环境，大幅增加液态硫雾与氧气的接触范围和碰撞几率，气液两相混合效率得到加强，有利于避免因局部缺氧或液硫浓度过高而诱发的不完全燃烧现象。</w:t>
      </w:r>
    </w:p>
    <w:p w14:paraId="3A42E027">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kern w:val="2"/>
          <w:sz w:val="21"/>
          <w:szCs w:val="21"/>
          <w:lang w:val="en-US" w:eastAsia="zh-CN" w:bidi="ar-SA"/>
        </w:rPr>
        <w:t>增加燃烧反应的有效停留时间。挡火墙的设置有效延长了气流在炉内的实际行进路径，使火焰在炉膛中的有效停留时间从常规设计下的约0.3 s延长至0.5 s以上，为液硫雾滴彻底氧化提供了更充分的时间窗口，从而抑制升华硫等副产物的生成。</w:t>
      </w:r>
    </w:p>
    <w:p w14:paraId="1A62BD11">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kern w:val="2"/>
          <w:sz w:val="21"/>
          <w:szCs w:val="21"/>
          <w:lang w:val="en-US" w:eastAsia="zh-CN" w:bidi="ar-SA"/>
        </w:rPr>
        <w:t>实现炉膛温度场的均匀化分布。依托挡火墙的气流分流与导向作用，高温燃烧火焰能够在炉膛空间内合理扩散分布，杜绝气流直冲炉壁产生局部高温热点，同时消除炉内低速回流形成的低温死角，把炉膛整体温度波动控制在合理范围。均匀稳定的温度环境既可维持燃烧反应所需的动力学条件，还能缓解局部高温对耐火衬里、炉壳金属结构的热冲击与老化损耗。</w:t>
      </w:r>
    </w:p>
    <w:p w14:paraId="1DBE10E2">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优化流场阻力并提高能量利用效率。合理设计挡火墙外形结构与安装位置，在保证气流掺混、温度均衡效果的基础上，可进一步调节炉内整体流动状态，减少无效绕流、涡流死区带来的压降损耗与热能浪费，降低炉膛整体通风阻力。工况条件的改善能够减轻风机工作负载、减少设备能耗，保障装置平稳长效运行，同时延缓炉体壳体与耐火内衬的老化速率，延长设备运行周期。</w:t>
      </w:r>
    </w:p>
    <w:p w14:paraId="19D3ECB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2.2典型挡火墙结构类型及其技术特征</w:t>
      </w:r>
    </w:p>
    <w:p w14:paraId="50C06C2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工业硫磺制酸装置中，焚硫炉挡火墙的结构类型主要分为格子挡火墙和弓形挡火墙两类</w:t>
      </w:r>
      <w:r>
        <w:rPr>
          <w:rFonts w:hint="eastAsia" w:ascii="宋体" w:hAnsi="宋体" w:eastAsia="宋体" w:cs="宋体"/>
          <w:color w:val="auto"/>
          <w:sz w:val="21"/>
          <w:szCs w:val="21"/>
          <w:vertAlign w:val="superscript"/>
          <w:lang w:val="en-US" w:eastAsia="zh-CN"/>
        </w:rPr>
        <w:t>[1,6]</w:t>
      </w:r>
      <w:r>
        <w:rPr>
          <w:rFonts w:hint="eastAsia" w:ascii="宋体" w:hAnsi="宋体" w:eastAsia="宋体" w:cs="宋体"/>
          <w:color w:val="auto"/>
          <w:sz w:val="21"/>
          <w:szCs w:val="21"/>
          <w:lang w:val="en-US" w:eastAsia="zh-CN"/>
        </w:rPr>
        <w:t>，其中弓形挡火墙因导流效果好、结构稳定性高，成为目前大型焚硫炉的主流应用形式，而根据布置方式又可进一步分为垂直弓形挡火墙和倾斜弓形挡火墙，两类结构的技术特性对比如表1所示。</w:t>
      </w:r>
    </w:p>
    <w:p w14:paraId="5E1E69C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2.2.1格子挡墙</w:t>
      </w:r>
    </w:p>
    <w:p w14:paraId="16684DA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格子挡墙是在砖块之间预留孔洞，形成众多小通道，使硫、空气及生成的SO₂烟气穿过这些孔洞，依靠孔道扩散实现混合。该结构曾较多用于中小型老装置。但刘耀倩</w:t>
      </w:r>
      <w:r>
        <w:rPr>
          <w:rFonts w:hint="eastAsia" w:ascii="宋体" w:hAnsi="宋体" w:eastAsia="宋体" w:cs="宋体"/>
          <w:color w:val="auto"/>
          <w:sz w:val="21"/>
          <w:szCs w:val="21"/>
          <w:vertAlign w:val="superscript"/>
          <w:lang w:val="en-US" w:eastAsia="zh-CN"/>
        </w:rPr>
        <w:t>[1]</w:t>
      </w:r>
      <w:r>
        <w:rPr>
          <w:rFonts w:hint="eastAsia" w:ascii="宋体" w:hAnsi="宋体" w:eastAsia="宋体" w:cs="宋体"/>
          <w:color w:val="auto"/>
          <w:sz w:val="21"/>
          <w:szCs w:val="21"/>
          <w:lang w:val="en-US" w:eastAsia="zh-CN"/>
        </w:rPr>
        <w:t>的数值模拟表明，格子挡墙存在明显不足：烟气穿过格孔后的速度、温度及SO₂浓度分布均不够均匀，炉膛上部温度偏低，燃烧反应主要集中在挡墙前的中下部区域，导致炉膛空间浪费。温度场分析还发现格子挡墙出口附近温度梯度较大，局部最高可达1570K，对出口连接管材提出更高要求。格子挡墙的系统阻力一般为2.8～3.5kPa，燃烧效率仅70%～75%，维修周期仅约3～5个月。</w:t>
      </w:r>
    </w:p>
    <w:p w14:paraId="059C3D4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2.2.2弓形挡墙</w:t>
      </w:r>
    </w:p>
    <w:p w14:paraId="5EA852D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在大型焚硫炉系统中，弓形挡墙凭借流场调控能力强、结构稳定可靠和高温适应性好等优势，已成为行业主流应用构型，相关布置方式与结构特性已有较为成熟的研究结论</w:t>
      </w:r>
      <w:r>
        <w:rPr>
          <w:rFonts w:hint="eastAsia" w:ascii="宋体" w:hAnsi="宋体" w:eastAsia="宋体" w:cs="宋体"/>
          <w:color w:val="auto"/>
          <w:sz w:val="21"/>
          <w:szCs w:val="21"/>
          <w:vertAlign w:val="superscript"/>
          <w:lang w:val="en-US" w:eastAsia="zh-CN"/>
        </w:rPr>
        <w:t>[1,3,5]</w:t>
      </w:r>
      <w:r>
        <w:rPr>
          <w:rFonts w:hint="eastAsia" w:ascii="宋体" w:hAnsi="宋体" w:eastAsia="宋体" w:cs="宋体"/>
          <w:color w:val="auto"/>
          <w:sz w:val="21"/>
          <w:szCs w:val="21"/>
          <w:lang w:val="en-US" w:eastAsia="zh-CN"/>
        </w:rPr>
        <w:t>。工程上普遍采用两堵弓形挡墙交替布置，通过上下交错的通流结构迫使炉内气流形成连续折返流动，显著强化湍流混合并消除滞流区域。按墙面与炉体轴线的夹角不同，弓形挡墙可分为垂直型与倾斜型两类，其中垂直弓形挡墙引导气流做竖直折返运动，倾斜弓形挡墙则可产生斜向绕流效果，进一步改善流场均匀性，三类挡墙结构主要技术指标对比见表1。</w:t>
      </w:r>
    </w:p>
    <w:p w14:paraId="24824D65">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表1焚硫炉不同挡墙结构的技术特性对比</w:t>
      </w:r>
    </w:p>
    <w:tbl>
      <w:tblPr>
        <w:tblStyle w:val="17"/>
        <w:tblW w:w="8422" w:type="dxa"/>
        <w:tblInd w:w="1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0" w:type="dxa"/>
          <w:left w:w="108" w:type="dxa"/>
          <w:bottom w:w="0" w:type="dxa"/>
          <w:right w:w="108" w:type="dxa"/>
        </w:tblCellMar>
      </w:tblPr>
      <w:tblGrid>
        <w:gridCol w:w="1120"/>
        <w:gridCol w:w="1620"/>
        <w:gridCol w:w="1463"/>
        <w:gridCol w:w="883"/>
        <w:gridCol w:w="2120"/>
        <w:gridCol w:w="1216"/>
      </w:tblGrid>
      <w:tr w14:paraId="516588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1120" w:type="dxa"/>
            <w:tcBorders>
              <w:tl2br w:val="nil"/>
              <w:tr2bl w:val="nil"/>
            </w:tcBorders>
            <w:shd w:val="clear" w:color="auto" w:fill="auto"/>
            <w:noWrap/>
            <w:vAlign w:val="center"/>
          </w:tcPr>
          <w:p w14:paraId="41D4C6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结构类型</w:t>
            </w:r>
          </w:p>
        </w:tc>
        <w:tc>
          <w:tcPr>
            <w:tcW w:w="1620" w:type="dxa"/>
            <w:tcBorders>
              <w:tl2br w:val="nil"/>
              <w:tr2bl w:val="nil"/>
            </w:tcBorders>
            <w:shd w:val="clear" w:color="auto" w:fill="auto"/>
            <w:noWrap/>
            <w:vAlign w:val="center"/>
          </w:tcPr>
          <w:p w14:paraId="1E7D36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导流效果</w:t>
            </w:r>
          </w:p>
        </w:tc>
        <w:tc>
          <w:tcPr>
            <w:tcW w:w="1463" w:type="dxa"/>
            <w:tcBorders>
              <w:tl2br w:val="nil"/>
              <w:tr2bl w:val="nil"/>
            </w:tcBorders>
            <w:shd w:val="clear" w:color="auto" w:fill="auto"/>
            <w:noWrap/>
            <w:vAlign w:val="center"/>
          </w:tcPr>
          <w:p w14:paraId="06FF84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燃烧效率</w:t>
            </w:r>
          </w:p>
        </w:tc>
        <w:tc>
          <w:tcPr>
            <w:tcW w:w="883" w:type="dxa"/>
            <w:tcBorders>
              <w:tl2br w:val="nil"/>
              <w:tr2bl w:val="nil"/>
            </w:tcBorders>
            <w:shd w:val="clear" w:color="auto" w:fill="auto"/>
            <w:noWrap/>
            <w:vAlign w:val="center"/>
          </w:tcPr>
          <w:p w14:paraId="2F8F6F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系统阻力/kPa</w:t>
            </w:r>
          </w:p>
        </w:tc>
        <w:tc>
          <w:tcPr>
            <w:tcW w:w="2120" w:type="dxa"/>
            <w:tcBorders>
              <w:tl2br w:val="nil"/>
              <w:tr2bl w:val="nil"/>
            </w:tcBorders>
            <w:shd w:val="clear" w:color="auto" w:fill="auto"/>
            <w:noWrap/>
            <w:vAlign w:val="center"/>
          </w:tcPr>
          <w:p w14:paraId="310A2F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结构稳定性</w:t>
            </w:r>
          </w:p>
        </w:tc>
        <w:tc>
          <w:tcPr>
            <w:tcW w:w="1216" w:type="dxa"/>
            <w:tcBorders>
              <w:tl2br w:val="nil"/>
              <w:tr2bl w:val="nil"/>
            </w:tcBorders>
            <w:shd w:val="clear" w:color="auto" w:fill="auto"/>
            <w:noWrap/>
            <w:vAlign w:val="center"/>
          </w:tcPr>
          <w:p w14:paraId="08B1C8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维修周期</w:t>
            </w:r>
          </w:p>
        </w:tc>
      </w:tr>
      <w:tr w14:paraId="10E37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1120" w:type="dxa"/>
            <w:tcBorders>
              <w:tl2br w:val="nil"/>
              <w:tr2bl w:val="nil"/>
            </w:tcBorders>
            <w:shd w:val="clear" w:color="auto" w:fill="auto"/>
            <w:noWrap/>
            <w:vAlign w:val="center"/>
          </w:tcPr>
          <w:p w14:paraId="7AA367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格子挡墙</w:t>
            </w:r>
          </w:p>
        </w:tc>
        <w:tc>
          <w:tcPr>
            <w:tcW w:w="1620" w:type="dxa"/>
            <w:tcBorders>
              <w:tl2br w:val="nil"/>
              <w:tr2bl w:val="nil"/>
            </w:tcBorders>
            <w:shd w:val="clear" w:color="auto" w:fill="auto"/>
            <w:noWrap/>
            <w:vAlign w:val="center"/>
          </w:tcPr>
          <w:p w14:paraId="1A46A5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一般，易生涡流</w:t>
            </w:r>
          </w:p>
        </w:tc>
        <w:tc>
          <w:tcPr>
            <w:tcW w:w="1463" w:type="dxa"/>
            <w:tcBorders>
              <w:tl2br w:val="nil"/>
              <w:tr2bl w:val="nil"/>
            </w:tcBorders>
            <w:shd w:val="clear" w:color="auto" w:fill="auto"/>
            <w:noWrap/>
            <w:vAlign w:val="center"/>
          </w:tcPr>
          <w:p w14:paraId="747D55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70%～75%</w:t>
            </w:r>
          </w:p>
        </w:tc>
        <w:tc>
          <w:tcPr>
            <w:tcW w:w="883" w:type="dxa"/>
            <w:tcBorders>
              <w:tl2br w:val="nil"/>
              <w:tr2bl w:val="nil"/>
            </w:tcBorders>
            <w:shd w:val="clear" w:color="auto" w:fill="auto"/>
            <w:noWrap/>
            <w:vAlign w:val="center"/>
          </w:tcPr>
          <w:p w14:paraId="738F23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2.8～3.5</w:t>
            </w:r>
          </w:p>
        </w:tc>
        <w:tc>
          <w:tcPr>
            <w:tcW w:w="2120" w:type="dxa"/>
            <w:tcBorders>
              <w:tl2br w:val="nil"/>
              <w:tr2bl w:val="nil"/>
            </w:tcBorders>
            <w:shd w:val="clear" w:color="auto" w:fill="auto"/>
            <w:noWrap/>
            <w:vAlign w:val="center"/>
          </w:tcPr>
          <w:p w14:paraId="6A4DEF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较差，孔口易磨损</w:t>
            </w:r>
          </w:p>
        </w:tc>
        <w:tc>
          <w:tcPr>
            <w:tcW w:w="1216" w:type="dxa"/>
            <w:tcBorders>
              <w:tl2br w:val="nil"/>
              <w:tr2bl w:val="nil"/>
            </w:tcBorders>
            <w:shd w:val="clear" w:color="auto" w:fill="auto"/>
            <w:noWrap/>
            <w:vAlign w:val="center"/>
          </w:tcPr>
          <w:p w14:paraId="5A646A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3～5个月</w:t>
            </w:r>
          </w:p>
        </w:tc>
      </w:tr>
      <w:tr w14:paraId="35E23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1120" w:type="dxa"/>
            <w:tcBorders>
              <w:tl2br w:val="nil"/>
              <w:tr2bl w:val="nil"/>
            </w:tcBorders>
            <w:shd w:val="clear" w:color="auto" w:fill="auto"/>
            <w:noWrap/>
            <w:vAlign w:val="center"/>
          </w:tcPr>
          <w:p w14:paraId="2FAA30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垂直弓形挡墙</w:t>
            </w:r>
          </w:p>
        </w:tc>
        <w:tc>
          <w:tcPr>
            <w:tcW w:w="1620" w:type="dxa"/>
            <w:tcBorders>
              <w:tl2br w:val="nil"/>
              <w:tr2bl w:val="nil"/>
            </w:tcBorders>
            <w:shd w:val="clear" w:color="auto" w:fill="auto"/>
            <w:noWrap/>
            <w:vAlign w:val="center"/>
          </w:tcPr>
          <w:p w14:paraId="32C90D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较差，近壁低速区大</w:t>
            </w:r>
          </w:p>
        </w:tc>
        <w:tc>
          <w:tcPr>
            <w:tcW w:w="1463" w:type="dxa"/>
            <w:tcBorders>
              <w:tl2br w:val="nil"/>
              <w:tr2bl w:val="nil"/>
            </w:tcBorders>
            <w:shd w:val="clear" w:color="auto" w:fill="auto"/>
            <w:noWrap/>
            <w:vAlign w:val="center"/>
          </w:tcPr>
          <w:p w14:paraId="07B80B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75%～80%</w:t>
            </w:r>
          </w:p>
        </w:tc>
        <w:tc>
          <w:tcPr>
            <w:tcW w:w="883" w:type="dxa"/>
            <w:tcBorders>
              <w:tl2br w:val="nil"/>
              <w:tr2bl w:val="nil"/>
            </w:tcBorders>
            <w:shd w:val="clear" w:color="auto" w:fill="auto"/>
            <w:noWrap/>
            <w:vAlign w:val="center"/>
          </w:tcPr>
          <w:p w14:paraId="3DCEC2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3.0～3.2</w:t>
            </w:r>
          </w:p>
        </w:tc>
        <w:tc>
          <w:tcPr>
            <w:tcW w:w="2120" w:type="dxa"/>
            <w:tcBorders>
              <w:tl2br w:val="nil"/>
              <w:tr2bl w:val="nil"/>
            </w:tcBorders>
            <w:shd w:val="clear" w:color="auto" w:fill="auto"/>
            <w:noWrap/>
            <w:vAlign w:val="center"/>
          </w:tcPr>
          <w:p w14:paraId="1BDACC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一般，迎火面热应力高</w:t>
            </w:r>
          </w:p>
        </w:tc>
        <w:tc>
          <w:tcPr>
            <w:tcW w:w="1216" w:type="dxa"/>
            <w:tcBorders>
              <w:tl2br w:val="nil"/>
              <w:tr2bl w:val="nil"/>
            </w:tcBorders>
            <w:shd w:val="clear" w:color="auto" w:fill="auto"/>
            <w:noWrap/>
            <w:vAlign w:val="center"/>
          </w:tcPr>
          <w:p w14:paraId="37876C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6～8个月</w:t>
            </w:r>
          </w:p>
        </w:tc>
      </w:tr>
      <w:tr w14:paraId="32F917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1120" w:type="dxa"/>
            <w:tcBorders>
              <w:tl2br w:val="nil"/>
              <w:tr2bl w:val="nil"/>
            </w:tcBorders>
            <w:shd w:val="clear" w:color="auto" w:fill="auto"/>
            <w:noWrap/>
            <w:vAlign w:val="center"/>
          </w:tcPr>
          <w:p w14:paraId="3EA61C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倾斜弓形挡墙</w:t>
            </w:r>
          </w:p>
        </w:tc>
        <w:tc>
          <w:tcPr>
            <w:tcW w:w="1620" w:type="dxa"/>
            <w:tcBorders>
              <w:tl2br w:val="nil"/>
              <w:tr2bl w:val="nil"/>
            </w:tcBorders>
            <w:shd w:val="clear" w:color="auto" w:fill="auto"/>
            <w:noWrap/>
            <w:vAlign w:val="center"/>
          </w:tcPr>
          <w:p w14:paraId="2A77DA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较好，流场均匀</w:t>
            </w:r>
          </w:p>
        </w:tc>
        <w:tc>
          <w:tcPr>
            <w:tcW w:w="1463" w:type="dxa"/>
            <w:tcBorders>
              <w:tl2br w:val="nil"/>
              <w:tr2bl w:val="nil"/>
            </w:tcBorders>
            <w:shd w:val="clear" w:color="auto" w:fill="auto"/>
            <w:noWrap/>
            <w:vAlign w:val="center"/>
          </w:tcPr>
          <w:p w14:paraId="73A5A7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85%～92%</w:t>
            </w:r>
          </w:p>
        </w:tc>
        <w:tc>
          <w:tcPr>
            <w:tcW w:w="883" w:type="dxa"/>
            <w:tcBorders>
              <w:tl2br w:val="nil"/>
              <w:tr2bl w:val="nil"/>
            </w:tcBorders>
            <w:shd w:val="clear" w:color="auto" w:fill="auto"/>
            <w:noWrap/>
            <w:vAlign w:val="center"/>
          </w:tcPr>
          <w:p w14:paraId="75AC77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2.3～2.8</w:t>
            </w:r>
          </w:p>
        </w:tc>
        <w:tc>
          <w:tcPr>
            <w:tcW w:w="2120" w:type="dxa"/>
            <w:tcBorders>
              <w:tl2br w:val="nil"/>
              <w:tr2bl w:val="nil"/>
            </w:tcBorders>
            <w:shd w:val="clear" w:color="auto" w:fill="auto"/>
            <w:noWrap/>
            <w:vAlign w:val="center"/>
          </w:tcPr>
          <w:p w14:paraId="7155AB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较好，热应力分布均匀</w:t>
            </w:r>
          </w:p>
        </w:tc>
        <w:tc>
          <w:tcPr>
            <w:tcW w:w="1216" w:type="dxa"/>
            <w:tcBorders>
              <w:tl2br w:val="nil"/>
              <w:tr2bl w:val="nil"/>
            </w:tcBorders>
            <w:shd w:val="clear" w:color="auto" w:fill="auto"/>
            <w:noWrap/>
            <w:vAlign w:val="center"/>
          </w:tcPr>
          <w:p w14:paraId="11F4E9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18～24个月</w:t>
            </w:r>
          </w:p>
        </w:tc>
      </w:tr>
    </w:tbl>
    <w:p w14:paraId="3B9B20E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3传统挡火墙结构的技术缺陷剖析</w:t>
      </w:r>
    </w:p>
    <w:p w14:paraId="2B251DA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综合现有文献及多套装置的运行数据，传统的“上下”交替垂直弓形挡墙普遍存在以下几方面共性缺陷。</w:t>
      </w:r>
    </w:p>
    <w:p w14:paraId="6E7CC64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3.1气流分布不均，燃烧充分性差</w:t>
      </w:r>
    </w:p>
    <w:p w14:paraId="3960EEE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采用垂直弓形挡火墙时，炉内气流仅能沿竖直方向做往复折返运动，易在炉膛近壁区域形成明显的低速流动区，且截面速度梯度分布不均，炉内滞流区体积占比可达15%~20%。这一流场特征导致液硫雾滴与空气的混合过程主要集中于炉膛中心区域，而靠近炉壁的边侧区域则因液硫浓度偏高或局部供氧不足而产生不完全燃烧。不完全燃烧所生成的升华硫容易沉积于炉壁及挡火墙表面，从而加速耐火材料的腐蚀与通道堵塞，进一步干扰炉内气流的正常运动。刘耀倩</w:t>
      </w:r>
      <w:r>
        <w:rPr>
          <w:rFonts w:hint="eastAsia" w:ascii="宋体" w:hAnsi="宋体" w:eastAsia="宋体" w:cs="宋体"/>
          <w:color w:val="auto"/>
          <w:sz w:val="21"/>
          <w:szCs w:val="21"/>
          <w:vertAlign w:val="superscript"/>
          <w:lang w:val="en-US" w:eastAsia="zh-CN"/>
        </w:rPr>
        <w:t>[1]</w:t>
      </w:r>
      <w:r>
        <w:rPr>
          <w:rFonts w:hint="eastAsia" w:ascii="宋体" w:hAnsi="宋体" w:eastAsia="宋体" w:cs="宋体"/>
          <w:color w:val="auto"/>
          <w:sz w:val="21"/>
          <w:szCs w:val="21"/>
          <w:lang w:val="en-US" w:eastAsia="zh-CN"/>
        </w:rPr>
        <w:t>数值模拟结果表明，垂直弓形挡墙布置下的近壁低速区面积较大且速度梯度明显，是造成混合不均与燃烧不完全问题的主要流场根源。</w:t>
      </w:r>
    </w:p>
    <w:p w14:paraId="7425ECE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3.2温度梯度大，局部过热突出</w:t>
      </w:r>
    </w:p>
    <w:p w14:paraId="5954170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垂直挡火墙的导流缺陷导致炉内燃烧反应集中在炉膛中下部区域，形成局部高温区，温度高达1200℃以上，而炉膛上部和近壁面区域为低温区，炉内温差达±50℃，温度场分布极不均匀。局部高温不仅使该区域耐火材料长期处于超温工况，导致耐火砖开裂、剥落，还使高温SO₂气体直接冲击炉壳钢体，引发炉壳局部超温。马瑞涵等</w:t>
      </w:r>
      <w:r>
        <w:rPr>
          <w:rFonts w:hint="eastAsia" w:ascii="宋体" w:hAnsi="宋体" w:eastAsia="宋体" w:cs="宋体"/>
          <w:color w:val="auto"/>
          <w:sz w:val="21"/>
          <w:szCs w:val="21"/>
          <w:vertAlign w:val="superscript"/>
          <w:lang w:val="en-US" w:eastAsia="zh-CN"/>
        </w:rPr>
        <w:t>[2]</w:t>
      </w:r>
      <w:r>
        <w:rPr>
          <w:rFonts w:hint="eastAsia" w:ascii="宋体" w:hAnsi="宋体" w:eastAsia="宋体" w:cs="宋体"/>
          <w:color w:val="auto"/>
          <w:sz w:val="21"/>
          <w:szCs w:val="21"/>
          <w:lang w:val="en-US" w:eastAsia="zh-CN"/>
        </w:rPr>
        <w:t>指出壳体局部超温是焚硫炉运行中的常见故障，严重时可使壳体鼓包甚至穿孔。</w:t>
      </w:r>
    </w:p>
    <w:p w14:paraId="4C16E09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3.3热应力集中，结构稳定性不足</w:t>
      </w:r>
    </w:p>
    <w:p w14:paraId="304E3F0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垂直弓形挡火墙的迎火面与火焰冲击方向呈90°正交，高温气流的直接冲击使挡火墙迎火面产生严重的热应力集中，加之耐火砖体与炉壳的热膨胀系数差异，在频繁的开停车和温度波动中，挡火墙砖体易发生倾斜、倒塌，甚至出现砖体脱落现象</w:t>
      </w:r>
      <w:r>
        <w:rPr>
          <w:rFonts w:hint="eastAsia" w:ascii="宋体" w:hAnsi="宋体" w:eastAsia="宋体" w:cs="宋体"/>
          <w:color w:val="auto"/>
          <w:sz w:val="21"/>
          <w:szCs w:val="21"/>
          <w:vertAlign w:val="superscript"/>
          <w:lang w:val="en-US" w:eastAsia="zh-CN"/>
        </w:rPr>
        <w:t>[2]</w:t>
      </w:r>
      <w:r>
        <w:rPr>
          <w:rFonts w:hint="eastAsia" w:ascii="宋体" w:hAnsi="宋体" w:eastAsia="宋体" w:cs="宋体"/>
          <w:color w:val="auto"/>
          <w:sz w:val="21"/>
          <w:szCs w:val="21"/>
          <w:lang w:val="en-US" w:eastAsia="zh-CN"/>
        </w:rPr>
        <w:t>。同时，传统挡火墙采用单一耐火砖砌筑，砖缝易形成气流通道，高温气体串气后进一步</w:t>
      </w:r>
      <w:bookmarkStart w:id="0" w:name="_GoBack"/>
      <w:bookmarkEnd w:id="0"/>
      <w:r>
        <w:rPr>
          <w:rFonts w:hint="eastAsia" w:ascii="宋体" w:hAnsi="宋体" w:eastAsia="宋体" w:cs="宋体"/>
          <w:color w:val="auto"/>
          <w:sz w:val="21"/>
          <w:szCs w:val="21"/>
          <w:lang w:val="en-US" w:eastAsia="zh-CN"/>
        </w:rPr>
        <w:t>加剧砖体与炉壳之间的热应力，导致耐火衬里与炉壳结合强度下降。田旭</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lang w:val="en-US" w:eastAsia="zh-CN"/>
        </w:rPr>
        <w:t>指出挡墙直接承受气流冲击且前后存在温差，容易逐渐倾斜或倒塌，虽然传统设计将挡墙嵌入砌体并预留膨胀缝，但垂直正交的冲击方式仍然难以有效释放热应力。加之耐火砖与钢壳的热膨胀系数不同，在频繁的开停车及温度波动中，挡墙砖体易发生倾斜、脱落甚至整体坍塌。</w:t>
      </w:r>
    </w:p>
    <w:p w14:paraId="3DB86AC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3.4系统阻力偏高，运行能耗较大</w:t>
      </w:r>
    </w:p>
    <w:p w14:paraId="1FA685B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垂直弓形挡墙采用“上下折返”式导流路径，致使气流绕行距离显著增加，局部区域形成的涡流结构带来额外的能量耗散，使得炉膛系统总阻力普遍处于 3.0～3.2 kPa 的较高水平。为克服该阻力，风机需长期处于高负荷运行状态，不仅直接提升生产电耗，同时易引发炉内风压周期性波动，操作人员需频繁调节二次配风量以维持燃烧工况稳定，显著增加操作控制难度与系统运行波动性，进一步降低燃烧效率的稳定性与可控性。</w:t>
      </w:r>
    </w:p>
    <w:p w14:paraId="312E19B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3.5炉体局部超温及其连锁故障</w:t>
      </w:r>
    </w:p>
    <w:p w14:paraId="04EE6E3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传统挡火墙受结构固有特性限制，易诱发一系列连锁反应，最终导致焚硫炉整体运行性能持续衰减。炉内气液两相混合不充分引发燃烧不完全，直接造成炉膛温度场分布畸变，形成局部高温热点；在长期高温热冲击作用下，耐火内衬材料老化速率显著加快，进而引发炉体钢壳局部超温，极端情况下可出现壳体烧损、耐火层剥落脱落等严重故障，迫使装置被迫非计划停机检修。上述连锁性故障不仅限制装置产能释放与运行效率提升，同时显著增大生产安全隐患与环保排放风险，已成为制约硫酸生产装置长周期、稳定化、高效运行的关键技术瓶颈。</w:t>
      </w:r>
    </w:p>
    <w:p w14:paraId="00D10F5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4挡火墙结构优化方向与工程实践</w:t>
      </w:r>
    </w:p>
    <w:p w14:paraId="449E784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针对上述传统交替垂直弓形挡墙的缺陷，近年来学术界与工程界从倾角设计、材料升级、施工工艺等方面提出了多种优化措施。</w:t>
      </w:r>
    </w:p>
    <w:p w14:paraId="58500BD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4.1优化挡墙倾角，强化气液两相混合</w:t>
      </w:r>
    </w:p>
    <w:p w14:paraId="5F4ACF2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优化挡墙倾角是改善流场、降低热应力的有效手段。非对称10°倾角挡火墙的核心作用是改变炉内气流的运动模式，将传统的“上下折返”直线运动转变为螺旋上升运动，螺旋流场能有效消除涡流和滞流区，使滞流区体积占比降至5%以下，气流速度变异系数控制在8%以内。同时，斜向冲击使得迎火面的热应力分布更加均匀，避免了90°正交带来的应力尖峰，从而实现流场分布的优化与气液两相混合的强化。马瑞涵等</w:t>
      </w:r>
      <w:r>
        <w:rPr>
          <w:rFonts w:hint="eastAsia" w:ascii="宋体" w:hAnsi="宋体" w:eastAsia="宋体" w:cs="宋体"/>
          <w:color w:val="auto"/>
          <w:sz w:val="21"/>
          <w:szCs w:val="21"/>
          <w:vertAlign w:val="superscript"/>
          <w:lang w:val="en-US" w:eastAsia="zh-CN"/>
        </w:rPr>
        <w:t>[2]</w:t>
      </w:r>
      <w:r>
        <w:rPr>
          <w:rFonts w:hint="eastAsia" w:ascii="宋体" w:hAnsi="宋体" w:eastAsia="宋体" w:cs="宋体"/>
          <w:color w:val="auto"/>
          <w:sz w:val="21"/>
          <w:szCs w:val="21"/>
          <w:lang w:val="en-US" w:eastAsia="zh-CN"/>
        </w:rPr>
        <w:t>的工程实践显示，将挡墙左右各倾斜10°后，焚硫炉系统阻力由3.05kPa下降至2.37kPa，降幅达0.68kPa，节能效果显著，优化改进后的挡火墙结构如图2所示。</w:t>
      </w:r>
    </w:p>
    <w:p w14:paraId="301BA4D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4435475" cy="2802890"/>
            <wp:effectExtent l="0" t="0" r="3175" b="1651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4435475" cy="2802890"/>
                    </a:xfrm>
                    <a:prstGeom prst="rect">
                      <a:avLst/>
                    </a:prstGeom>
                    <a:noFill/>
                    <a:ln w="9525">
                      <a:noFill/>
                    </a:ln>
                  </pic:spPr>
                </pic:pic>
              </a:graphicData>
            </a:graphic>
          </wp:inline>
        </w:drawing>
      </w:r>
    </w:p>
    <w:p w14:paraId="49CE83F0">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图2 优化改进后的挡火墙结构示意图</w:t>
      </w:r>
    </w:p>
    <w:p w14:paraId="2E82CD52">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4.2耐火材料升级与结构加强</w:t>
      </w:r>
    </w:p>
    <w:p w14:paraId="17742BD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挡墙与炉膛内衬的耐火材料配置对其运行周期具有决定性作用，相关研究已形成较为成熟的选材与构造方案。在材料选型方面，马瑞涵等</w:t>
      </w:r>
      <w:r>
        <w:rPr>
          <w:rFonts w:hint="eastAsia" w:ascii="宋体" w:hAnsi="宋体" w:eastAsia="宋体" w:cs="宋体"/>
          <w:color w:val="auto"/>
          <w:sz w:val="21"/>
          <w:szCs w:val="21"/>
          <w:vertAlign w:val="superscript"/>
          <w:lang w:val="en-US" w:eastAsia="zh-CN"/>
        </w:rPr>
        <w:t>[2]</w:t>
      </w:r>
      <w:r>
        <w:rPr>
          <w:rFonts w:hint="eastAsia" w:ascii="宋体" w:hAnsi="宋体" w:eastAsia="宋体" w:cs="宋体"/>
          <w:color w:val="auto"/>
          <w:sz w:val="21"/>
          <w:szCs w:val="21"/>
          <w:lang w:val="en-US" w:eastAsia="zh-CN"/>
        </w:rPr>
        <w:t>推荐迎火面宜选用氧化铝质量分数不低于65%的LZ-65高铝质耐火砖或LZ-70高铝砖，优先采用带有子母扣结构的异型砖体，通过咬合式砌筑降低砖缝间隙，增强砌体整体致密性与结构稳定性，带子母卡口的耐火砖结构如图3所示。在结构设计方面，田旭</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vertAlign w:val="baseline"/>
          <w:lang w:val="en-US" w:eastAsia="zh-CN"/>
        </w:rPr>
        <w:t>建议</w:t>
      </w:r>
      <w:r>
        <w:rPr>
          <w:rFonts w:hint="eastAsia" w:ascii="宋体" w:hAnsi="宋体" w:eastAsia="宋体" w:cs="宋体"/>
          <w:color w:val="auto"/>
          <w:sz w:val="21"/>
          <w:szCs w:val="21"/>
          <w:lang w:val="en-US" w:eastAsia="zh-CN"/>
        </w:rPr>
        <w:t>挡墙可采用双层230mm厚高铝砖复合5mm耐火胶泥砌筑，通过内嵌式安装与内层炉衬形成整体结合，并在周边预留12mm膨胀间隙，以有效释放高温运行产生的热应力，保障长周期安全性。</w:t>
      </w:r>
    </w:p>
    <w:p w14:paraId="25BB9F8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4264660" cy="2419350"/>
            <wp:effectExtent l="0" t="0" r="2540" b="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6"/>
                    <a:stretch>
                      <a:fillRect/>
                    </a:stretch>
                  </pic:blipFill>
                  <pic:spPr>
                    <a:xfrm>
                      <a:off x="0" y="0"/>
                      <a:ext cx="4264660" cy="2419350"/>
                    </a:xfrm>
                    <a:prstGeom prst="rect">
                      <a:avLst/>
                    </a:prstGeom>
                    <a:noFill/>
                    <a:ln w="9525">
                      <a:noFill/>
                    </a:ln>
                  </pic:spPr>
                </pic:pic>
              </a:graphicData>
            </a:graphic>
          </wp:inline>
        </w:drawing>
      </w:r>
    </w:p>
    <w:p w14:paraId="68F26EE7">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图3 带子母卡口的耐火砖结构示意图</w:t>
      </w:r>
    </w:p>
    <w:p w14:paraId="1A0B17B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4.3喷射浇注施工工艺</w:t>
      </w:r>
    </w:p>
    <w:p w14:paraId="42424FC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传统砌砖工艺存在砖缝多、整体性差、施工周期长等问题。冯俊杰等</w:t>
      </w:r>
      <w:r>
        <w:rPr>
          <w:rFonts w:hint="eastAsia" w:ascii="宋体" w:hAnsi="宋体" w:eastAsia="宋体" w:cs="宋体"/>
          <w:color w:val="auto"/>
          <w:sz w:val="21"/>
          <w:szCs w:val="21"/>
          <w:vertAlign w:val="superscript"/>
          <w:lang w:val="en-US" w:eastAsia="zh-CN"/>
        </w:rPr>
        <w:t>[4]</w:t>
      </w:r>
      <w:r>
        <w:rPr>
          <w:rFonts w:hint="eastAsia" w:ascii="宋体" w:hAnsi="宋体" w:eastAsia="宋体" w:cs="宋体"/>
          <w:color w:val="auto"/>
          <w:sz w:val="21"/>
          <w:szCs w:val="21"/>
          <w:lang w:val="en-US" w:eastAsia="zh-CN"/>
        </w:rPr>
        <w:t>在800kt/a硫磺制酸装置中对比了耐火料喷射浇注与传统衬砖的效果。结果表明喷射浇注实现了“整体喷涂、一次成型”，施工仅需25天，而传统砌砖需50天；采用喷射浇注的焚硫炉外壁温度长期维持在70～90℃，而传统衬砖的前烟箱外壁温度高达110～130℃，喷射浇注的保温效果明显更优；喷射浇注内衬附着力强、整体性好，表面裂纹不会向内部延伸，也不会引起大块脱落。该工艺通过在壳体内壁预焊不锈钢锚固件来增强衬里稳定性，避免了传统砌砖因整体沉降而在衬里与壳体之间形成缝隙，从而杜绝了高温烟气串气问题。</w:t>
      </w:r>
    </w:p>
    <w:p w14:paraId="3847C33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5结论与展望</w:t>
      </w:r>
    </w:p>
    <w:p w14:paraId="3E14B45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本文围绕硫磺制酸焚硫炉挡火墙的工作机理及结构特征展开展系统性剖析，借助对炉内气流走向的合理调控、燃烧停留时间的有效延长以及炉膛温度场的均匀化排布，挡火墙能够显著改善焚硫炉内部燃烧工况。通过不同结构型式的对比分析，弓形挡火墙整体表现明显优于格子式挡墙，兼具良好经济性与长周期运行，更适配大型硫磺制酸装置应用场景。</w:t>
      </w:r>
    </w:p>
    <w:p w14:paraId="6532480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当前硫磺制酸行业正向大型化、低碳化和绿色化转型，挡火墙精细化设计仍有深入研究空间。可基于CFD数值模拟，针对不同产能与工况条件，对挡火墙倾角、数量及安装位置进行多参数优化匹配；同时研发耐高温、抗冲刷、低导热的新型复合耐火材料，推进3D打印技术在耐火构件中的工程应用。此外，结合在线监测技术搭建炉内燃烧智能调控体系，实时联动调控喷硫量与配风配比，可为焚硫炉高效稳定运行及智能化升级提供理论与工程依据。</w:t>
      </w:r>
    </w:p>
    <w:p w14:paraId="4BE4ACC0">
      <w:pPr>
        <w:keepNext w:val="0"/>
        <w:keepLines w:val="0"/>
        <w:pageBreakBefore w:val="0"/>
        <w:kinsoku/>
        <w:wordWrap/>
        <w:overflowPunct/>
        <w:topLinePunct w:val="0"/>
        <w:autoSpaceDE/>
        <w:autoSpaceDN/>
        <w:bidi w:val="0"/>
        <w:adjustRightInd/>
        <w:snapToGrid/>
        <w:spacing w:line="400" w:lineRule="exact"/>
        <w:rPr>
          <w:rFonts w:hint="eastAsia"/>
        </w:rPr>
      </w:pPr>
    </w:p>
    <w:p w14:paraId="3B8C177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p>
    <w:p w14:paraId="0F6C535E">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imes New Roman" w:hAnsi="Times New Roman" w:eastAsia="宋体" w:cs="黑体"/>
          <w:b w:val="0"/>
          <w:bCs w:val="0"/>
          <w:color w:val="auto"/>
          <w:kern w:val="2"/>
          <w:sz w:val="20"/>
          <w:szCs w:val="20"/>
          <w:lang w:val="en-US" w:eastAsia="zh-CN" w:bidi="ar-SA"/>
        </w:rPr>
      </w:pPr>
      <w:r>
        <w:rPr>
          <w:rFonts w:hint="eastAsia" w:ascii="Times New Roman" w:hAnsi="Times New Roman" w:eastAsia="宋体" w:cs="黑体"/>
          <w:b w:val="0"/>
          <w:bCs w:val="0"/>
          <w:color w:val="auto"/>
          <w:kern w:val="2"/>
          <w:sz w:val="20"/>
          <w:szCs w:val="20"/>
          <w:lang w:val="en-US" w:eastAsia="zh-CN" w:bidi="ar-SA"/>
        </w:rPr>
        <w:t>[1] 刘耀倩.焚硫炉内挡墙结构模拟研究[J].硫酸工业,2020,(09):29-31.</w:t>
      </w:r>
    </w:p>
    <w:p w14:paraId="71A5808F">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imes New Roman" w:hAnsi="Times New Roman" w:eastAsia="宋体" w:cs="黑体"/>
          <w:b w:val="0"/>
          <w:bCs w:val="0"/>
          <w:color w:val="auto"/>
          <w:kern w:val="2"/>
          <w:sz w:val="20"/>
          <w:szCs w:val="20"/>
          <w:lang w:val="en-US" w:eastAsia="zh-CN" w:bidi="ar-SA"/>
        </w:rPr>
      </w:pPr>
      <w:r>
        <w:rPr>
          <w:rFonts w:hint="eastAsia" w:ascii="Times New Roman" w:hAnsi="Times New Roman" w:eastAsia="宋体" w:cs="黑体"/>
          <w:b w:val="0"/>
          <w:bCs w:val="0"/>
          <w:color w:val="auto"/>
          <w:kern w:val="2"/>
          <w:sz w:val="20"/>
          <w:szCs w:val="20"/>
          <w:lang w:val="en-US" w:eastAsia="zh-CN" w:bidi="ar-SA"/>
        </w:rPr>
        <w:t>[2]马瑞涵,宗明书.焚硫炉运行中的常见问题与设计优化[J].硫磷设计与粉体工程,2025,(04):25-27+31+58.</w:t>
      </w:r>
    </w:p>
    <w:p w14:paraId="1E21EF0A">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imes New Roman" w:hAnsi="Times New Roman" w:eastAsia="宋体" w:cs="黑体"/>
          <w:b w:val="0"/>
          <w:bCs w:val="0"/>
          <w:color w:val="auto"/>
          <w:kern w:val="2"/>
          <w:sz w:val="20"/>
          <w:szCs w:val="20"/>
          <w:lang w:val="en-US" w:eastAsia="zh-CN" w:bidi="ar-SA"/>
        </w:rPr>
      </w:pPr>
      <w:r>
        <w:rPr>
          <w:rFonts w:hint="eastAsia" w:ascii="Times New Roman" w:hAnsi="Times New Roman" w:eastAsia="宋体" w:cs="黑体"/>
          <w:b w:val="0"/>
          <w:bCs w:val="0"/>
          <w:color w:val="auto"/>
          <w:kern w:val="2"/>
          <w:sz w:val="20"/>
          <w:szCs w:val="20"/>
          <w:lang w:val="en-US" w:eastAsia="zh-CN" w:bidi="ar-SA"/>
        </w:rPr>
        <w:t>[3] 田旭.硫酸装置中焚硫炉的设计[J].石油和化工设备,2019,22(07):11-13.</w:t>
      </w:r>
    </w:p>
    <w:p w14:paraId="4727A92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imes New Roman" w:hAnsi="Times New Roman" w:eastAsia="宋体" w:cs="黑体"/>
          <w:b w:val="0"/>
          <w:bCs w:val="0"/>
          <w:color w:val="auto"/>
          <w:kern w:val="2"/>
          <w:sz w:val="20"/>
          <w:szCs w:val="20"/>
          <w:lang w:val="en-US" w:eastAsia="zh-CN" w:bidi="ar-SA"/>
        </w:rPr>
      </w:pPr>
      <w:r>
        <w:rPr>
          <w:rFonts w:hint="eastAsia" w:ascii="Times New Roman" w:hAnsi="Times New Roman" w:eastAsia="宋体" w:cs="黑体"/>
          <w:b w:val="0"/>
          <w:bCs w:val="0"/>
          <w:color w:val="auto"/>
          <w:kern w:val="2"/>
          <w:sz w:val="20"/>
          <w:szCs w:val="20"/>
          <w:lang w:val="en-US" w:eastAsia="zh-CN" w:bidi="ar-SA"/>
        </w:rPr>
        <w:t>[4] 冯俊杰,陈拥军,廖达炎.耐火料喷涂浇筑和传统衬砖用于大型硫磺制酸装置的探讨[J].硫酸工业,2018,(10):30-32.</w:t>
      </w:r>
    </w:p>
    <w:p w14:paraId="25916E2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imes New Roman" w:hAnsi="Times New Roman" w:eastAsia="宋体" w:cs="黑体"/>
          <w:b w:val="0"/>
          <w:bCs w:val="0"/>
          <w:color w:val="auto"/>
          <w:kern w:val="2"/>
          <w:sz w:val="20"/>
          <w:szCs w:val="20"/>
          <w:lang w:val="en-US" w:eastAsia="zh-CN" w:bidi="ar-SA"/>
        </w:rPr>
      </w:pPr>
      <w:r>
        <w:rPr>
          <w:rFonts w:hint="eastAsia" w:ascii="Times New Roman" w:hAnsi="Times New Roman" w:eastAsia="宋体" w:cs="黑体"/>
          <w:b w:val="0"/>
          <w:bCs w:val="0"/>
          <w:color w:val="auto"/>
          <w:kern w:val="2"/>
          <w:sz w:val="20"/>
          <w:szCs w:val="20"/>
          <w:lang w:val="en-US" w:eastAsia="zh-CN" w:bidi="ar-SA"/>
        </w:rPr>
        <w:t>[5] 夏毓芳.焚硫炉结构设计及材质选择[J].硫酸工业,1999,(06):20-24+49.</w:t>
      </w:r>
    </w:p>
    <w:p w14:paraId="36B455F8">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lang w:val="en-US" w:eastAsia="zh-CN"/>
        </w:rPr>
      </w:pPr>
      <w:r>
        <w:rPr>
          <w:rFonts w:hint="eastAsia" w:ascii="Times New Roman" w:hAnsi="Times New Roman" w:eastAsia="宋体" w:cs="黑体"/>
          <w:b w:val="0"/>
          <w:bCs w:val="0"/>
          <w:color w:val="auto"/>
          <w:kern w:val="2"/>
          <w:sz w:val="20"/>
          <w:szCs w:val="20"/>
          <w:lang w:val="en-US" w:eastAsia="zh-CN" w:bidi="ar-SA"/>
        </w:rPr>
        <w:t>[6] 申兴海,郝易潇,韩帆,等.硫磺制酸焚硫炉设计的改进与优化[J].硫磷设计与粉体工程,2014,(05):15-19+67.</w:t>
      </w: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Cambria Math">
    <w:panose1 w:val="02040503050406030204"/>
    <w:charset w:val="00"/>
    <w:family w:val="auto"/>
    <w:pitch w:val="default"/>
    <w:sig w:usb0="E00006FF" w:usb1="420024FF" w:usb2="02000000" w:usb3="00000000" w:csb0="2000019F" w:csb1="00000000"/>
  </w:font>
  <w:font w:name="MS Mincho">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71473A"/>
    <w:multiLevelType w:val="singleLevel"/>
    <w:tmpl w:val="8571473A"/>
    <w:lvl w:ilvl="0" w:tentative="0">
      <w:start w:val="1"/>
      <w:numFmt w:val="chineseCounting"/>
      <w:suff w:val="nothing"/>
      <w:lvlText w:val="第%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BA0844"/>
    <w:rsid w:val="091A7E4E"/>
    <w:rsid w:val="09931095"/>
    <w:rsid w:val="09F00295"/>
    <w:rsid w:val="0A4B20AA"/>
    <w:rsid w:val="0AEE6ECB"/>
    <w:rsid w:val="0AFF2E86"/>
    <w:rsid w:val="0B664CB3"/>
    <w:rsid w:val="0C0E77A3"/>
    <w:rsid w:val="0C2B45A8"/>
    <w:rsid w:val="0C580AA0"/>
    <w:rsid w:val="0C8E44C1"/>
    <w:rsid w:val="0CDE6ACB"/>
    <w:rsid w:val="0CE40585"/>
    <w:rsid w:val="0CE82491"/>
    <w:rsid w:val="0CF56428"/>
    <w:rsid w:val="0D525F6F"/>
    <w:rsid w:val="0D731909"/>
    <w:rsid w:val="0DA11FD2"/>
    <w:rsid w:val="0E470192"/>
    <w:rsid w:val="0E5352AC"/>
    <w:rsid w:val="0E792F4F"/>
    <w:rsid w:val="0EC8358F"/>
    <w:rsid w:val="0F543075"/>
    <w:rsid w:val="0FEE51C5"/>
    <w:rsid w:val="0FEF171B"/>
    <w:rsid w:val="0FF00FEF"/>
    <w:rsid w:val="0FF6638D"/>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573B76"/>
    <w:rsid w:val="16B20DAC"/>
    <w:rsid w:val="16B25250"/>
    <w:rsid w:val="16B8213B"/>
    <w:rsid w:val="16D2144F"/>
    <w:rsid w:val="171C4DC0"/>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C5A7393"/>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30D784D"/>
    <w:rsid w:val="23B95F13"/>
    <w:rsid w:val="24174945"/>
    <w:rsid w:val="24212C83"/>
    <w:rsid w:val="244020ED"/>
    <w:rsid w:val="248B32E5"/>
    <w:rsid w:val="24B17D3C"/>
    <w:rsid w:val="24EE1B49"/>
    <w:rsid w:val="25867FD4"/>
    <w:rsid w:val="259C77F7"/>
    <w:rsid w:val="260678C3"/>
    <w:rsid w:val="262A3A04"/>
    <w:rsid w:val="269C7383"/>
    <w:rsid w:val="26B66697"/>
    <w:rsid w:val="273D46C2"/>
    <w:rsid w:val="27435A51"/>
    <w:rsid w:val="27466F3A"/>
    <w:rsid w:val="276F4A98"/>
    <w:rsid w:val="283B6E9A"/>
    <w:rsid w:val="28414686"/>
    <w:rsid w:val="287C746C"/>
    <w:rsid w:val="288D3427"/>
    <w:rsid w:val="28C3509B"/>
    <w:rsid w:val="28D44D60"/>
    <w:rsid w:val="29F55569"/>
    <w:rsid w:val="2A6D1762"/>
    <w:rsid w:val="2A9C2048"/>
    <w:rsid w:val="2AF37C49"/>
    <w:rsid w:val="2AF66DAE"/>
    <w:rsid w:val="2C1A3224"/>
    <w:rsid w:val="2C5F332D"/>
    <w:rsid w:val="2CDC497D"/>
    <w:rsid w:val="2DA03BFD"/>
    <w:rsid w:val="2DA336ED"/>
    <w:rsid w:val="2DD45655"/>
    <w:rsid w:val="2DEE35B1"/>
    <w:rsid w:val="2E7221A8"/>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2F72511"/>
    <w:rsid w:val="337771AE"/>
    <w:rsid w:val="33F94067"/>
    <w:rsid w:val="34480B4A"/>
    <w:rsid w:val="34821AD6"/>
    <w:rsid w:val="35556599"/>
    <w:rsid w:val="35977F67"/>
    <w:rsid w:val="35A52FD0"/>
    <w:rsid w:val="35D501BC"/>
    <w:rsid w:val="36407D2B"/>
    <w:rsid w:val="36BE3BE8"/>
    <w:rsid w:val="36DA26A7"/>
    <w:rsid w:val="36DB5CA6"/>
    <w:rsid w:val="37227431"/>
    <w:rsid w:val="3756532C"/>
    <w:rsid w:val="37B01725"/>
    <w:rsid w:val="38061044"/>
    <w:rsid w:val="381C3783"/>
    <w:rsid w:val="389600D6"/>
    <w:rsid w:val="389E342F"/>
    <w:rsid w:val="38C5276A"/>
    <w:rsid w:val="39783C80"/>
    <w:rsid w:val="399551B1"/>
    <w:rsid w:val="39D619B3"/>
    <w:rsid w:val="39FF1CAB"/>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641264"/>
    <w:rsid w:val="41700BEB"/>
    <w:rsid w:val="426C3C56"/>
    <w:rsid w:val="42786A9F"/>
    <w:rsid w:val="42BC1743"/>
    <w:rsid w:val="42EE53FF"/>
    <w:rsid w:val="43E4263E"/>
    <w:rsid w:val="45554E75"/>
    <w:rsid w:val="459D60E3"/>
    <w:rsid w:val="45B70627"/>
    <w:rsid w:val="45B778DE"/>
    <w:rsid w:val="45CA5863"/>
    <w:rsid w:val="45E5444B"/>
    <w:rsid w:val="46362EF9"/>
    <w:rsid w:val="465515D1"/>
    <w:rsid w:val="468E4AE3"/>
    <w:rsid w:val="46F54E2D"/>
    <w:rsid w:val="46FD57C4"/>
    <w:rsid w:val="47925F0D"/>
    <w:rsid w:val="47A143DA"/>
    <w:rsid w:val="47E81E53"/>
    <w:rsid w:val="48A028AB"/>
    <w:rsid w:val="48B545A9"/>
    <w:rsid w:val="495C0DBE"/>
    <w:rsid w:val="49C56A6D"/>
    <w:rsid w:val="49CB1BAA"/>
    <w:rsid w:val="4A070E34"/>
    <w:rsid w:val="4A4F4589"/>
    <w:rsid w:val="4AB60164"/>
    <w:rsid w:val="4B8E06C7"/>
    <w:rsid w:val="4C934BC0"/>
    <w:rsid w:val="4CFB09F8"/>
    <w:rsid w:val="4D057181"/>
    <w:rsid w:val="4D447CA9"/>
    <w:rsid w:val="4D5123C6"/>
    <w:rsid w:val="4D6B792C"/>
    <w:rsid w:val="4DA16EA9"/>
    <w:rsid w:val="4DDA060D"/>
    <w:rsid w:val="4DE33966"/>
    <w:rsid w:val="4DED1912"/>
    <w:rsid w:val="4E257ADB"/>
    <w:rsid w:val="4E353A96"/>
    <w:rsid w:val="4EAD187E"/>
    <w:rsid w:val="4EB175C0"/>
    <w:rsid w:val="4EB62E28"/>
    <w:rsid w:val="4F0911AA"/>
    <w:rsid w:val="4F2C4E99"/>
    <w:rsid w:val="4F78309C"/>
    <w:rsid w:val="4F7E394E"/>
    <w:rsid w:val="506F7733"/>
    <w:rsid w:val="50A20D13"/>
    <w:rsid w:val="50AD3DB7"/>
    <w:rsid w:val="50AF7B2F"/>
    <w:rsid w:val="50B02F71"/>
    <w:rsid w:val="50C26CF2"/>
    <w:rsid w:val="50EC0D83"/>
    <w:rsid w:val="50FE0CB7"/>
    <w:rsid w:val="512D188F"/>
    <w:rsid w:val="51363DAD"/>
    <w:rsid w:val="513B5867"/>
    <w:rsid w:val="5144673C"/>
    <w:rsid w:val="519D207E"/>
    <w:rsid w:val="51A018C4"/>
    <w:rsid w:val="51EC090F"/>
    <w:rsid w:val="51FB00AC"/>
    <w:rsid w:val="52391DA6"/>
    <w:rsid w:val="52E57838"/>
    <w:rsid w:val="542B3971"/>
    <w:rsid w:val="54335EE7"/>
    <w:rsid w:val="5463310B"/>
    <w:rsid w:val="54AF45A2"/>
    <w:rsid w:val="54C142D5"/>
    <w:rsid w:val="55254864"/>
    <w:rsid w:val="553C395C"/>
    <w:rsid w:val="55BA1450"/>
    <w:rsid w:val="56037691"/>
    <w:rsid w:val="56083D8A"/>
    <w:rsid w:val="56135E24"/>
    <w:rsid w:val="564017AC"/>
    <w:rsid w:val="567B0721"/>
    <w:rsid w:val="56835CE6"/>
    <w:rsid w:val="56F97D56"/>
    <w:rsid w:val="57081D47"/>
    <w:rsid w:val="57E97DCB"/>
    <w:rsid w:val="57EF1159"/>
    <w:rsid w:val="583059FA"/>
    <w:rsid w:val="5847689F"/>
    <w:rsid w:val="58532B2C"/>
    <w:rsid w:val="58984204"/>
    <w:rsid w:val="58C47EF0"/>
    <w:rsid w:val="59285798"/>
    <w:rsid w:val="596F60AE"/>
    <w:rsid w:val="59B83EF9"/>
    <w:rsid w:val="5A2A0227"/>
    <w:rsid w:val="5A7B0A82"/>
    <w:rsid w:val="5B0311A3"/>
    <w:rsid w:val="5B7F3101"/>
    <w:rsid w:val="5BB5218E"/>
    <w:rsid w:val="5BFE5E0F"/>
    <w:rsid w:val="5CAA564F"/>
    <w:rsid w:val="5E361890"/>
    <w:rsid w:val="5EDA046D"/>
    <w:rsid w:val="5EE237C6"/>
    <w:rsid w:val="5EFF7ED4"/>
    <w:rsid w:val="5F7679C4"/>
    <w:rsid w:val="5F7F2DC3"/>
    <w:rsid w:val="5FA56CCD"/>
    <w:rsid w:val="5FBF1411"/>
    <w:rsid w:val="601A09BC"/>
    <w:rsid w:val="60395667"/>
    <w:rsid w:val="60AA0313"/>
    <w:rsid w:val="60FA6BA5"/>
    <w:rsid w:val="610D33E8"/>
    <w:rsid w:val="615E35D8"/>
    <w:rsid w:val="619568CD"/>
    <w:rsid w:val="61E67129"/>
    <w:rsid w:val="621A5025"/>
    <w:rsid w:val="62CC27C3"/>
    <w:rsid w:val="635A7DCF"/>
    <w:rsid w:val="637D586B"/>
    <w:rsid w:val="63872EA4"/>
    <w:rsid w:val="63F26259"/>
    <w:rsid w:val="64061D04"/>
    <w:rsid w:val="640A365A"/>
    <w:rsid w:val="640E2967"/>
    <w:rsid w:val="64754794"/>
    <w:rsid w:val="64FD7B2B"/>
    <w:rsid w:val="65006754"/>
    <w:rsid w:val="657B402C"/>
    <w:rsid w:val="65C07C91"/>
    <w:rsid w:val="66CA526B"/>
    <w:rsid w:val="67C12792"/>
    <w:rsid w:val="67DD0FCE"/>
    <w:rsid w:val="687436E1"/>
    <w:rsid w:val="687A681D"/>
    <w:rsid w:val="68D73C6F"/>
    <w:rsid w:val="690B56C7"/>
    <w:rsid w:val="696A4D66"/>
    <w:rsid w:val="69867965"/>
    <w:rsid w:val="699456BD"/>
    <w:rsid w:val="6A4E3ABD"/>
    <w:rsid w:val="6A9A31A7"/>
    <w:rsid w:val="6AD06BC8"/>
    <w:rsid w:val="6B1D005F"/>
    <w:rsid w:val="6B3929BF"/>
    <w:rsid w:val="6B3D425E"/>
    <w:rsid w:val="6B431148"/>
    <w:rsid w:val="6B56531F"/>
    <w:rsid w:val="6B575C91"/>
    <w:rsid w:val="6BB8040C"/>
    <w:rsid w:val="6C5C6966"/>
    <w:rsid w:val="6C6E5E1A"/>
    <w:rsid w:val="6C8E2897"/>
    <w:rsid w:val="6CB71DEE"/>
    <w:rsid w:val="6CDF30F3"/>
    <w:rsid w:val="6D282CEC"/>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109EE"/>
    <w:rsid w:val="70626FA0"/>
    <w:rsid w:val="70756EB2"/>
    <w:rsid w:val="71E73078"/>
    <w:rsid w:val="7258197D"/>
    <w:rsid w:val="72C60FDD"/>
    <w:rsid w:val="72EB27F1"/>
    <w:rsid w:val="730241B0"/>
    <w:rsid w:val="731A1328"/>
    <w:rsid w:val="735760D9"/>
    <w:rsid w:val="73587D13"/>
    <w:rsid w:val="743B50B2"/>
    <w:rsid w:val="74BF5CE3"/>
    <w:rsid w:val="750977D2"/>
    <w:rsid w:val="75263FB5"/>
    <w:rsid w:val="75693EA1"/>
    <w:rsid w:val="75B25848"/>
    <w:rsid w:val="764D37C3"/>
    <w:rsid w:val="766528BB"/>
    <w:rsid w:val="768F268A"/>
    <w:rsid w:val="76C92E49"/>
    <w:rsid w:val="7730111A"/>
    <w:rsid w:val="77617526"/>
    <w:rsid w:val="777A05E8"/>
    <w:rsid w:val="77F24622"/>
    <w:rsid w:val="781A1483"/>
    <w:rsid w:val="781F0851"/>
    <w:rsid w:val="7820118F"/>
    <w:rsid w:val="782A7918"/>
    <w:rsid w:val="78B00E0E"/>
    <w:rsid w:val="78C94F9D"/>
    <w:rsid w:val="78FD502C"/>
    <w:rsid w:val="796450AB"/>
    <w:rsid w:val="79EB30D7"/>
    <w:rsid w:val="7A293F0A"/>
    <w:rsid w:val="7A5E24AA"/>
    <w:rsid w:val="7ACB4CB6"/>
    <w:rsid w:val="7B02692A"/>
    <w:rsid w:val="7B486307"/>
    <w:rsid w:val="7B5B603A"/>
    <w:rsid w:val="7B5C744A"/>
    <w:rsid w:val="7BA55C3B"/>
    <w:rsid w:val="7BD858DD"/>
    <w:rsid w:val="7BE9361F"/>
    <w:rsid w:val="7C6B49A3"/>
    <w:rsid w:val="7C765821"/>
    <w:rsid w:val="7C856E44"/>
    <w:rsid w:val="7C8D2B6B"/>
    <w:rsid w:val="7CD24A22"/>
    <w:rsid w:val="7CEE21A0"/>
    <w:rsid w:val="7CFE5817"/>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next w:val="8"/>
    <w:autoRedefine/>
    <w:qFormat/>
    <w:uiPriority w:val="0"/>
    <w:pPr>
      <w:spacing w:after="120" w:afterLines="0" w:afterAutospacing="0"/>
    </w:pPr>
  </w:style>
  <w:style w:type="paragraph" w:styleId="8">
    <w:name w:val="Title"/>
    <w:basedOn w:val="1"/>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9">
    <w:name w:val="Body Text Indent"/>
    <w:basedOn w:val="1"/>
    <w:next w:val="10"/>
    <w:qFormat/>
    <w:uiPriority w:val="0"/>
    <w:pPr>
      <w:spacing w:after="120" w:afterLines="0" w:afterAutospacing="0"/>
      <w:ind w:left="420" w:leftChars="200"/>
    </w:pPr>
  </w:style>
  <w:style w:type="paragraph" w:customStyle="1" w:styleId="10">
    <w:name w:val="样式 正文文本缩进 + 行距: 1.5 倍行距"/>
    <w:basedOn w:val="1"/>
    <w:qFormat/>
    <w:uiPriority w:val="0"/>
    <w:pPr>
      <w:spacing w:after="120"/>
      <w:ind w:left="90" w:leftChars="32" w:firstLine="560"/>
    </w:pPr>
    <w:rPr>
      <w:rFonts w:cs="宋体"/>
    </w:rPr>
  </w:style>
  <w:style w:type="paragraph" w:styleId="11">
    <w:name w:val="footer"/>
    <w:basedOn w:val="1"/>
    <w:link w:val="29"/>
    <w:autoRedefine/>
    <w:unhideWhenUsed/>
    <w:qFormat/>
    <w:uiPriority w:val="99"/>
    <w:pPr>
      <w:tabs>
        <w:tab w:val="center" w:pos="4153"/>
        <w:tab w:val="right" w:pos="8306"/>
      </w:tabs>
      <w:snapToGrid w:val="0"/>
      <w:jc w:val="left"/>
    </w:pPr>
    <w:rPr>
      <w:sz w:val="18"/>
      <w:szCs w:val="18"/>
    </w:rPr>
  </w:style>
  <w:style w:type="paragraph" w:styleId="12">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9"/>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8"/>
    <w:autoRedefine/>
    <w:qFormat/>
    <w:uiPriority w:val="10"/>
    <w:rPr>
      <w:rFonts w:ascii="黑体" w:hAnsi="黑体" w:eastAsia="黑体" w:cs="黑体"/>
      <w:b/>
      <w:bCs/>
      <w:sz w:val="24"/>
      <w:szCs w:val="24"/>
    </w:rPr>
  </w:style>
  <w:style w:type="character" w:customStyle="1" w:styleId="28">
    <w:name w:val="页眉 字符"/>
    <w:basedOn w:val="19"/>
    <w:link w:val="12"/>
    <w:autoRedefine/>
    <w:qFormat/>
    <w:uiPriority w:val="99"/>
    <w:rPr>
      <w:sz w:val="18"/>
      <w:szCs w:val="18"/>
    </w:rPr>
  </w:style>
  <w:style w:type="character" w:customStyle="1" w:styleId="29">
    <w:name w:val="页脚 字符"/>
    <w:basedOn w:val="19"/>
    <w:link w:val="11"/>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3"/>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5595</Words>
  <Characters>5968</Characters>
  <Lines>35</Lines>
  <Paragraphs>9</Paragraphs>
  <TotalTime>146</TotalTime>
  <ScaleCrop>false</ScaleCrop>
  <LinksUpToDate>false</LinksUpToDate>
  <CharactersWithSpaces>5987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2026-05-27T06:22:20Z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