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7E9B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</w:p>
    <w:p w14:paraId="7DE647C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隶书" w:hAnsi="隶书" w:eastAsia="隶书" w:cs="隶书"/>
          <w:lang w:val="en-US" w:eastAsia="zh-CN"/>
        </w:rPr>
      </w:pPr>
      <w:r>
        <w:rPr>
          <w:rFonts w:hint="eastAsia" w:ascii="隶书" w:hAnsi="隶书" w:eastAsia="隶书" w:cs="隶书"/>
          <w:lang w:val="en-US" w:eastAsia="zh-CN"/>
        </w:rPr>
        <w:t>硫磺制酸装置HAZOP分析与过程安全控制研究</w:t>
      </w:r>
    </w:p>
    <w:p w14:paraId="7E98D359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杨晓攀</w:t>
      </w:r>
    </w:p>
    <w:p w14:paraId="0AD15B6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center"/>
        <w:textAlignment w:val="auto"/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1"/>
          <w:szCs w:val="21"/>
          <w:lang w:val="en-US" w:eastAsia="zh-CN"/>
        </w:rPr>
        <w:t>云南三环中化化肥有限公司</w:t>
      </w:r>
    </w:p>
    <w:p w14:paraId="117522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</w:p>
    <w:p w14:paraId="14275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摘要：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硫磺制酸是我国硫酸工业主流生产工艺，具有流程紧凑、热回收率高、产品纯度高等优势，但生产过程涉及高温、高压、强腐蚀、易燃、有毒等多重危险特性，一旦失控易引发火灾爆炸、化学灼伤、中毒窒息及环境污染等事故。为系统识别工艺风险、提升装置本质安全水平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superscript"/>
          <w:lang w:val="en-US" w:eastAsia="zh-CN"/>
        </w:rPr>
        <w:t>[1]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，本文以800kt/a硫磺制酸装置为研究对象，采用危险与可操作性分析（HAZOP）方法，划分熔硫、焚硫转化、干吸（含HRS）、脱盐水、空压站五大工艺节点，结合引导词—工艺参数组合开展全流程偏差分析，明确偏离原因、事故后果、现有防护措施及风险等级，并提出针对性安全优化建议。研究表明：硫磺制酸装置高风险环节集中于焚硫炉温度失控、液硫输送堵塞泄漏、转化器触媒超温、酸冷却器内漏、锅炉缺水满水等场景；通过完善联锁保护、优化工艺参数、强化设备防腐与应急处置，可显著降低事故概率</w:t>
      </w:r>
      <w:r>
        <w:rPr>
          <w:rFonts w:hint="eastAsia" w:ascii="宋体" w:hAnsi="宋体" w:eastAsia="宋体" w:cs="宋体"/>
          <w:b w:val="0"/>
          <w:bCs/>
          <w:sz w:val="21"/>
          <w:szCs w:val="21"/>
          <w:vertAlign w:val="superscript"/>
          <w:lang w:val="en-US" w:eastAsia="zh-CN"/>
        </w:rPr>
        <w:t>[2]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。本文可为硫磺制酸装置设计、运行、检修及安全管理提供理论依据与技术支撑。</w:t>
      </w:r>
    </w:p>
    <w:p w14:paraId="4DE1B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关键词：</w:t>
      </w:r>
      <w:r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  <w:t>硫磺制酸 HAZOP分析 过程安全 风险管控 焚硫转化 干吸系统</w:t>
      </w:r>
    </w:p>
    <w:p w14:paraId="42BC8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/>
          <w:sz w:val="21"/>
          <w:szCs w:val="21"/>
          <w:lang w:val="en-US" w:eastAsia="zh-CN"/>
        </w:rPr>
      </w:pPr>
    </w:p>
    <w:p w14:paraId="6FED20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1 引言</w:t>
      </w:r>
    </w:p>
    <w:p w14:paraId="106737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硫酸是基础化工领域用量最大的无机酸之一，广泛应用于磷肥、冶金、染料、医药、精细化工等行业。硫磺制酸以固体硫磺为原料，经熔硫、焚硫、催化转化、三氧化硫吸收、余热回收等工序制备工业硫酸，具有原料清洁、转化率高、三废排放量低、热能回收效益好等特点，已成为国内大型硫酸装置首选工艺。</w:t>
      </w:r>
    </w:p>
    <w:p w14:paraId="0458D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典型硫磺制酸装置采用“3+1”两次转化两次吸收流程，配套HRS低温热回收系统、DCS/FCS集中控制系统及氨法尾气吸收系统，装置规模向800kt/a、1000kt/a大型化发展。生产过程中，硫磺燃烧放热剧烈、转化反应温度高、浓硫酸强腐蚀性、SO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/SO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有毒有害、锅炉及压力容器高压运行，使得工艺安全风险高度集中。近年来，因液硫泄漏着火、焚硫炉超温、酸冷器内漏、转化触媒烧结、锅炉缺水等引发的非计划停车与安全事故时有发生，传统经验式安全管理难以实现全流程风险可控。</w:t>
      </w:r>
    </w:p>
    <w:p w14:paraId="7E7EED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危险与可操作性分析（HAZOP）是国际公认的化工过程系统性风险辨识方法，通过“引导词+工艺参数”组合识别工艺偏离，系统分析原因、后果、现有保护层并提出改进措施，特别适用于高温、高压、连续化、强腐蚀性工艺装置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[</w:t>
      </w:r>
      <w:r>
        <w:rPr>
          <w:rFonts w:hint="eastAsia" w:ascii="宋体" w:hAnsi="宋体" w:eastAsia="宋体" w:cs="宋体"/>
          <w:sz w:val="21"/>
          <w:szCs w:val="21"/>
          <w:vertAlign w:val="superscript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]</w:t>
      </w:r>
      <w:r>
        <w:rPr>
          <w:rFonts w:hint="eastAsia" w:ascii="宋体" w:hAnsi="宋体" w:eastAsia="宋体" w:cs="宋体"/>
          <w:sz w:val="21"/>
          <w:szCs w:val="21"/>
        </w:rPr>
        <w:t>。目前，HAZOP已在硫磺回收、硫铁矿制酸、废酸裂解等装置得到应用，但针对大型硫磺制酸全流程、含HRS系统、结合现场操作规程的系统性HAZOP研究仍较为缺乏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[</w:t>
      </w:r>
      <w:r>
        <w:rPr>
          <w:rFonts w:hint="eastAsia" w:ascii="宋体" w:hAnsi="宋体" w:eastAsia="宋体" w:cs="宋体"/>
          <w:sz w:val="21"/>
          <w:szCs w:val="21"/>
          <w:vertAlign w:val="superscript"/>
          <w:lang w:val="en-US" w:eastAsia="zh-CN"/>
        </w:rPr>
        <w:t>4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]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184607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本文依托800kt/a硫磺制酸装置操作规程、PID图、联锁清单及现场HAZOP分析成果，对熔硫、焚硫转化、干吸（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含</w:t>
      </w:r>
      <w:r>
        <w:rPr>
          <w:rFonts w:hint="eastAsia" w:ascii="宋体" w:hAnsi="宋体" w:eastAsia="宋体" w:cs="宋体"/>
          <w:sz w:val="21"/>
          <w:szCs w:val="21"/>
        </w:rPr>
        <w:t>HRS）、脱盐水、空压站等单元开展全节点、全偏差风险分析，识别关键危险源，构建风险控制体系，为硫磺制酸装置安全稳定运行提供科学依据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[</w:t>
      </w:r>
      <w:r>
        <w:rPr>
          <w:rFonts w:hint="eastAsia" w:ascii="宋体" w:hAnsi="宋体" w:eastAsia="宋体" w:cs="宋体"/>
          <w:sz w:val="21"/>
          <w:szCs w:val="21"/>
          <w:vertAlign w:val="superscript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]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7AA3F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 工艺流程与危险特性</w:t>
      </w:r>
    </w:p>
    <w:p w14:paraId="6D2F2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2.1 工艺流程</w:t>
      </w:r>
    </w:p>
    <w:p w14:paraId="0C0DC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研究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对象</w:t>
      </w:r>
      <w:r>
        <w:rPr>
          <w:rFonts w:hint="eastAsia" w:ascii="宋体" w:hAnsi="宋体" w:eastAsia="宋体" w:cs="宋体"/>
          <w:sz w:val="21"/>
          <w:szCs w:val="21"/>
        </w:rPr>
        <w:t>为800kt/a硫磺制酸装置，设计年产硫酸80万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t工业硫酸</w:t>
      </w:r>
      <w:r>
        <w:rPr>
          <w:rFonts w:hint="eastAsia" w:ascii="宋体" w:hAnsi="宋体" w:eastAsia="宋体" w:cs="宋体"/>
          <w:sz w:val="21"/>
          <w:szCs w:val="21"/>
        </w:rPr>
        <w:t>，副产3.82MPa、450℃中压过热蒸汽12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 w:cs="宋体"/>
          <w:sz w:val="21"/>
          <w:szCs w:val="21"/>
        </w:rPr>
        <w:t>t/h，HRS系统副产1.0MPa饱和蒸汽45t/h，尾气SO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排放浓度≤400mg/Nm</w:t>
      </w:r>
      <w:r>
        <w:rPr>
          <w:rFonts w:hint="eastAsia" w:ascii="宋体" w:hAnsi="宋体" w:eastAsia="宋体" w:cs="宋体"/>
          <w:sz w:val="21"/>
          <w:szCs w:val="21"/>
          <w:vertAlign w:val="superscript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。核心工艺流程如下：</w:t>
      </w:r>
    </w:p>
    <w:p w14:paraId="5081C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1）熔硫工序：固体硫磺散卸→输送→快速熔硫槽熔化→过滤→精硫槽储存，液硫温度控制130~150℃；</w:t>
      </w:r>
    </w:p>
    <w:p w14:paraId="38A0E3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2）焚硫转化：液硫加压雾化→焚硫炉燃烧（900~1100℃）→余热锅炉降温→四段钒触媒“3+1”两次转化；</w:t>
      </w:r>
    </w:p>
    <w:p w14:paraId="3420B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3）干吸工序：干燥塔用98%硫酸干燥空气，一吸塔/HRS塔、二吸塔吸收SO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生成浓硫酸，循环酸冷却与浓度调控；</w:t>
      </w:r>
    </w:p>
    <w:p w14:paraId="0C591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4）余热回收：余热锅炉、过热器、省煤器、HRS锅炉回收热量副产蒸汽；</w:t>
      </w:r>
    </w:p>
    <w:p w14:paraId="19ED5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5）公用工程：脱盐水制备、循环水冷却、仪表空气供应、氨法尾吸、酸性废水收集处理。</w:t>
      </w:r>
    </w:p>
    <w:p w14:paraId="7D535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2.2 主要危险有害因素</w:t>
      </w:r>
    </w:p>
    <w:p w14:paraId="22C6D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硫磺制酸过程具有多物质、多工况、多设备叠加的危险特性，主要风险如下：</w:t>
      </w:r>
    </w:p>
    <w:p w14:paraId="2DDDC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1）火灾爆炸：硫磺粉尘易燃，液硫自燃点约250℃，遇高温、静电、明火可燃烧；焚硫炉超温、升华硫堆积、酸雾积聚、氢气析出易引发爆炸；锅炉、蒸汽管道超压爆炸风险突出；</w:t>
      </w:r>
    </w:p>
    <w:p w14:paraId="504D1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2）化学腐蚀：98%浓硫酸强脱水、强氧化性，稀酸、SO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、酸雾对碳钢、不锈钢腐蚀严重；酸冷却器内漏导致循环水酸化，加速设备穿孔泄漏；</w:t>
      </w:r>
    </w:p>
    <w:p w14:paraId="03EF6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3）中毒窒息：SO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、SO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、酸雾具有强刺激性，吸入可引发呼吸道损伤、肺水肿；有限空间作业残留有毒气体易造成中毒窒息；</w:t>
      </w:r>
    </w:p>
    <w:p w14:paraId="57DF1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4）设备失效：高温导致焚硫炉耐火砖损坏、转化器触媒烧结；液硫管道伴热失效凝固堵塞；泵、风机、汽轮机故障引发非计划停车；</w:t>
      </w:r>
    </w:p>
    <w:p w14:paraId="242A0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5）环保风险：尾气SO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/酸雾超标、酸性废水泄漏、废催化剂处置不当造成环境污染。</w:t>
      </w:r>
    </w:p>
    <w:p w14:paraId="0CAF6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 HAZOP分析方案</w:t>
      </w:r>
    </w:p>
    <w:p w14:paraId="540FA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3.1 分析范围与目标</w:t>
      </w:r>
    </w:p>
    <w:p w14:paraId="30874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分析范围：覆盖硫磺散卸、熔硫、焚硫转化、干吸（含HRS）、转化、蒸汽、循环水、尾吸、脱盐水、空压站、三磷水池全流程；</w:t>
      </w:r>
    </w:p>
    <w:p w14:paraId="0C76A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分析目标：识别工艺偏差、风险原因与事故后果；评估现有安全措施有效性；划分风险等级；提出本质安全、工程控制、管理优化措施。</w:t>
      </w:r>
    </w:p>
    <w:p w14:paraId="2E7A9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3.2 节点划分</w:t>
      </w:r>
    </w:p>
    <w:p w14:paraId="30F12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结合工艺流程与设备功能，将装置划分为5个核心分析节点：</w:t>
      </w:r>
    </w:p>
    <w:p w14:paraId="6C615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N1：熔硫单元；N2：焚硫转化单元；N3：干吸+HRS单元；N4：脱盐水单元；N5：空压站单元。</w:t>
      </w:r>
    </w:p>
    <w:p w14:paraId="1955B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3.3 分析方法</w:t>
      </w:r>
    </w:p>
    <w:p w14:paraId="3139F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采用标准HAZOP分析方法，以引导词+工艺参数组合生成工艺偏离。</w:t>
      </w:r>
    </w:p>
    <w:p w14:paraId="573D06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引导词：无、过量、减量、伴随、相反、异常、部分；</w:t>
      </w:r>
    </w:p>
    <w:p w14:paraId="6A0C5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工艺参数：流量、温度、压力、液位、浓度、组分、pH、压差；</w:t>
      </w:r>
    </w:p>
    <w:p w14:paraId="51C0BF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风险评估：采用可能性（L）+严重性（S）矩阵，划分为高风险（C）、中风险（D）、低风险（E）三级。</w:t>
      </w:r>
    </w:p>
    <w:p w14:paraId="5DDA6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3.4 分析依据</w:t>
      </w:r>
    </w:p>
    <w:p w14:paraId="46C0E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1）800kt/a硫磺制酸装置安全标准化操作规程；</w:t>
      </w:r>
    </w:p>
    <w:p w14:paraId="590AD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2）硫磺制酸装置PID图、设备参数表、联锁报警清单；</w:t>
      </w:r>
    </w:p>
    <w:p w14:paraId="0F868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3）硫磺制酸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装置</w:t>
      </w:r>
      <w:r>
        <w:rPr>
          <w:rFonts w:hint="eastAsia" w:ascii="宋体" w:hAnsi="宋体" w:eastAsia="宋体" w:cs="宋体"/>
          <w:sz w:val="21"/>
          <w:szCs w:val="21"/>
        </w:rPr>
        <w:t>HAZOP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现场</w:t>
      </w:r>
      <w:r>
        <w:rPr>
          <w:rFonts w:hint="eastAsia" w:ascii="宋体" w:hAnsi="宋体" w:eastAsia="宋体" w:cs="宋体"/>
          <w:sz w:val="21"/>
          <w:szCs w:val="21"/>
        </w:rPr>
        <w:t>分析报告、安全设施配置表；</w:t>
      </w:r>
    </w:p>
    <w:p w14:paraId="7FC42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4）GB/T50493-2019《石油化工可燃气体和有毒气体检测报警设计标准》、AQ/T3043-2013《化工建设项目安全设计管理导则》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[</w:t>
      </w:r>
      <w:r>
        <w:rPr>
          <w:rFonts w:hint="eastAsia" w:ascii="宋体" w:hAnsi="宋体" w:eastAsia="宋体" w:cs="宋体"/>
          <w:sz w:val="21"/>
          <w:szCs w:val="21"/>
          <w:vertAlign w:val="superscript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][</w:t>
      </w:r>
      <w:r>
        <w:rPr>
          <w:rFonts w:hint="eastAsia" w:ascii="宋体" w:hAnsi="宋体" w:eastAsia="宋体" w:cs="宋体"/>
          <w:sz w:val="21"/>
          <w:szCs w:val="21"/>
          <w:vertAlign w:val="superscript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]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1E69E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 HAZOP分析核心结果</w:t>
      </w:r>
    </w:p>
    <w:p w14:paraId="7E13C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4.1 熔硫单元（N1）HAZOP分析</w:t>
      </w:r>
    </w:p>
    <w:p w14:paraId="5FE40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熔硫单元为液硫制备与输送系统，主要偏差集中在温度、液位、流量、压力，高风险项为液硫溢出着火、管道凝固堵塞、加热盘管泄漏。关键偏差分析见表1。</w:t>
      </w:r>
    </w:p>
    <w:p w14:paraId="2B9579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表1熔硫单元HAZOP分析结果</w:t>
      </w:r>
    </w:p>
    <w:tbl>
      <w:tblPr>
        <w:tblStyle w:val="17"/>
        <w:tblW w:w="84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1"/>
        <w:gridCol w:w="1408"/>
        <w:gridCol w:w="1408"/>
        <w:gridCol w:w="2204"/>
        <w:gridCol w:w="703"/>
        <w:gridCol w:w="2074"/>
      </w:tblGrid>
      <w:tr w14:paraId="4A6DF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701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4CBD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偏差</w:t>
            </w:r>
          </w:p>
        </w:tc>
        <w:tc>
          <w:tcPr>
            <w:tcW w:w="1408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35B6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原因</w:t>
            </w:r>
          </w:p>
        </w:tc>
        <w:tc>
          <w:tcPr>
            <w:tcW w:w="1408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A0A7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后果</w:t>
            </w:r>
          </w:p>
        </w:tc>
        <w:tc>
          <w:tcPr>
            <w:tcW w:w="2204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42B2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现有措施</w:t>
            </w:r>
          </w:p>
        </w:tc>
        <w:tc>
          <w:tcPr>
            <w:tcW w:w="703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0F94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风险等级</w:t>
            </w:r>
          </w:p>
        </w:tc>
        <w:tc>
          <w:tcPr>
            <w:tcW w:w="2074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C928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建议措施</w:t>
            </w:r>
          </w:p>
        </w:tc>
      </w:tr>
      <w:tr w14:paraId="2DC9B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8FA2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液位过高</w:t>
            </w:r>
          </w:p>
        </w:tc>
        <w:tc>
          <w:tcPr>
            <w:tcW w:w="1408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50C6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来硫量大、出料泵故障</w:t>
            </w:r>
          </w:p>
        </w:tc>
        <w:tc>
          <w:tcPr>
            <w:tcW w:w="1408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1C48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液硫溢出、火灾、灼伤</w:t>
            </w:r>
          </w:p>
        </w:tc>
        <w:tc>
          <w:tcPr>
            <w:tcW w:w="2204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EBB6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高液位联锁停进料、蒸汽灭火、视频监控</w:t>
            </w:r>
          </w:p>
        </w:tc>
        <w:tc>
          <w:tcPr>
            <w:tcW w:w="703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1C61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2074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BB82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完善联锁逻辑；增设声光报警与围堰</w:t>
            </w:r>
          </w:p>
        </w:tc>
      </w:tr>
      <w:tr w14:paraId="4EF6E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02C9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液位过低</w:t>
            </w:r>
          </w:p>
        </w:tc>
        <w:tc>
          <w:tcPr>
            <w:tcW w:w="1408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98E0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进料中断、泵气蚀</w:t>
            </w:r>
          </w:p>
        </w:tc>
        <w:tc>
          <w:tcPr>
            <w:tcW w:w="1408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2404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泵空转损坏、供硫中断</w:t>
            </w:r>
          </w:p>
        </w:tc>
        <w:tc>
          <w:tcPr>
            <w:tcW w:w="220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8164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低液位报警、一用一备泵</w:t>
            </w:r>
          </w:p>
        </w:tc>
        <w:tc>
          <w:tcPr>
            <w:tcW w:w="70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60FF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207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8218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增加低低液位联锁停泵</w:t>
            </w:r>
          </w:p>
        </w:tc>
      </w:tr>
      <w:tr w14:paraId="02735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707C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温度过高</w:t>
            </w:r>
          </w:p>
        </w:tc>
        <w:tc>
          <w:tcPr>
            <w:tcW w:w="1408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2E51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蒸汽阀内漏、硫温超标</w:t>
            </w:r>
          </w:p>
        </w:tc>
        <w:tc>
          <w:tcPr>
            <w:tcW w:w="1408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DB349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设备腐蚀加剧、泄漏</w:t>
            </w:r>
          </w:p>
        </w:tc>
        <w:tc>
          <w:tcPr>
            <w:tcW w:w="220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3A01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温度高报警、蒸汽消防</w:t>
            </w:r>
          </w:p>
        </w:tc>
        <w:tc>
          <w:tcPr>
            <w:tcW w:w="70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F755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207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E04C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优化蒸汽调节阀；温度高高联锁关蒸汽</w:t>
            </w:r>
          </w:p>
        </w:tc>
      </w:tr>
      <w:tr w14:paraId="4E1E8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E2B3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温度过低</w:t>
            </w:r>
          </w:p>
        </w:tc>
        <w:tc>
          <w:tcPr>
            <w:tcW w:w="1408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7F5B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伴热泄漏、保温失效</w:t>
            </w:r>
          </w:p>
        </w:tc>
        <w:tc>
          <w:tcPr>
            <w:tcW w:w="1408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789C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液硫凝固、管道堵塞</w:t>
            </w:r>
          </w:p>
        </w:tc>
        <w:tc>
          <w:tcPr>
            <w:tcW w:w="220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2C33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温度低报警</w:t>
            </w:r>
          </w:p>
        </w:tc>
        <w:tc>
          <w:tcPr>
            <w:tcW w:w="70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EAE0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207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E5A3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伴热双回路；定期检查疏水器</w:t>
            </w:r>
          </w:p>
        </w:tc>
      </w:tr>
      <w:tr w14:paraId="2BE47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1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23B7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流量过大</w:t>
            </w:r>
          </w:p>
        </w:tc>
        <w:tc>
          <w:tcPr>
            <w:tcW w:w="1408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1545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泵变频故障、阀门过大</w:t>
            </w:r>
          </w:p>
        </w:tc>
        <w:tc>
          <w:tcPr>
            <w:tcW w:w="1408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E5F5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焚硫炉负荷波动</w:t>
            </w:r>
          </w:p>
        </w:tc>
        <w:tc>
          <w:tcPr>
            <w:tcW w:w="2204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6AE9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流量调节、变频控制</w:t>
            </w:r>
          </w:p>
        </w:tc>
        <w:tc>
          <w:tcPr>
            <w:tcW w:w="703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7B5A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2074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1813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增加流量高报警；优化PID参数</w:t>
            </w:r>
          </w:p>
        </w:tc>
      </w:tr>
    </w:tbl>
    <w:p w14:paraId="3C310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4.2 焚硫转化单元（N2）HAZOP分析</w:t>
      </w:r>
    </w:p>
    <w:p w14:paraId="1E9F2C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本单元为核心反应单元，高温、高压、有毒气体并存，高风险项为焚硫炉超温、转化器触媒超温、锅炉缺水/满水、SO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浓度超标。关键偏差分析见表2。</w:t>
      </w:r>
    </w:p>
    <w:p w14:paraId="27110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表2焚硫转化单元HAZOP分析结果</w:t>
      </w:r>
    </w:p>
    <w:tbl>
      <w:tblPr>
        <w:tblStyle w:val="17"/>
        <w:tblW w:w="84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2"/>
        <w:gridCol w:w="1656"/>
        <w:gridCol w:w="1561"/>
        <w:gridCol w:w="1656"/>
        <w:gridCol w:w="689"/>
        <w:gridCol w:w="1944"/>
      </w:tblGrid>
      <w:tr w14:paraId="72F7C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992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51A6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偏差</w:t>
            </w:r>
          </w:p>
        </w:tc>
        <w:tc>
          <w:tcPr>
            <w:tcW w:w="1656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8AF9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原因</w:t>
            </w:r>
          </w:p>
        </w:tc>
        <w:tc>
          <w:tcPr>
            <w:tcW w:w="1561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45B2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后果</w:t>
            </w:r>
          </w:p>
        </w:tc>
        <w:tc>
          <w:tcPr>
            <w:tcW w:w="1656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29DD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现有措施</w:t>
            </w:r>
          </w:p>
        </w:tc>
        <w:tc>
          <w:tcPr>
            <w:tcW w:w="689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3E3E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风险等级</w:t>
            </w:r>
          </w:p>
        </w:tc>
        <w:tc>
          <w:tcPr>
            <w:tcW w:w="1944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BBBE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建议措施</w:t>
            </w:r>
          </w:p>
        </w:tc>
      </w:tr>
      <w:tr w14:paraId="3A852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92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836B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焚硫炉温过高</w:t>
            </w:r>
          </w:p>
        </w:tc>
        <w:tc>
          <w:tcPr>
            <w:tcW w:w="1656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9071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硫多风少、雾化不良</w:t>
            </w:r>
          </w:p>
        </w:tc>
        <w:tc>
          <w:tcPr>
            <w:tcW w:w="1561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4A34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耐火砖烧损、炉壳烧穿</w:t>
            </w:r>
          </w:p>
        </w:tc>
        <w:tc>
          <w:tcPr>
            <w:tcW w:w="1656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3CF2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炉膛温度报警、空气压力显示</w:t>
            </w:r>
          </w:p>
        </w:tc>
        <w:tc>
          <w:tcPr>
            <w:tcW w:w="689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B0C4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1944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99268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温度高高联锁停磺；优化风硫比</w:t>
            </w:r>
          </w:p>
        </w:tc>
      </w:tr>
      <w:tr w14:paraId="36F1D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9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1F14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转化一段超温</w:t>
            </w:r>
          </w:p>
        </w:tc>
        <w:tc>
          <w:tcPr>
            <w:tcW w:w="165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8160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进气超温、SO₂浓度高</w:t>
            </w:r>
          </w:p>
        </w:tc>
        <w:tc>
          <w:tcPr>
            <w:tcW w:w="15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7BF5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触媒烧结失活、转化率下降</w:t>
            </w:r>
          </w:p>
        </w:tc>
        <w:tc>
          <w:tcPr>
            <w:tcW w:w="165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4941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床层温度报警、副线阀调节</w:t>
            </w:r>
          </w:p>
        </w:tc>
        <w:tc>
          <w:tcPr>
            <w:tcW w:w="68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EDA7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194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E739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温度高高联锁降负荷；强化触媒保护</w:t>
            </w:r>
          </w:p>
        </w:tc>
      </w:tr>
      <w:tr w14:paraId="0DAF5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9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9D1F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锅炉液位过低</w:t>
            </w:r>
          </w:p>
        </w:tc>
        <w:tc>
          <w:tcPr>
            <w:tcW w:w="165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6541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给水不足、排污过量</w:t>
            </w:r>
          </w:p>
        </w:tc>
        <w:tc>
          <w:tcPr>
            <w:tcW w:w="15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250A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炉管过热、爆管</w:t>
            </w:r>
          </w:p>
        </w:tc>
        <w:tc>
          <w:tcPr>
            <w:tcW w:w="165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4900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水位计、备用泵、定期排污</w:t>
            </w:r>
          </w:p>
        </w:tc>
        <w:tc>
          <w:tcPr>
            <w:tcW w:w="68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BFA8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194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0839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双液位监测；低低液位紧急停车</w:t>
            </w:r>
          </w:p>
        </w:tc>
      </w:tr>
      <w:tr w14:paraId="5DA04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9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FEDB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锅炉液位过高</w:t>
            </w:r>
          </w:p>
        </w:tc>
        <w:tc>
          <w:tcPr>
            <w:tcW w:w="165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95E1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给水阀失灵、操作失误</w:t>
            </w:r>
          </w:p>
        </w:tc>
        <w:tc>
          <w:tcPr>
            <w:tcW w:w="1561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B689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蒸汽带水、水击、损坏机组</w:t>
            </w:r>
          </w:p>
        </w:tc>
        <w:tc>
          <w:tcPr>
            <w:tcW w:w="1656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FA09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水位报警、紧急放水</w:t>
            </w:r>
          </w:p>
        </w:tc>
        <w:tc>
          <w:tcPr>
            <w:tcW w:w="689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37AA5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1944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6C408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高液位联锁关给水；定期校验水位计</w:t>
            </w:r>
          </w:p>
        </w:tc>
      </w:tr>
      <w:tr w14:paraId="7E143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92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090A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SO₂浓度过高</w:t>
            </w:r>
          </w:p>
        </w:tc>
        <w:tc>
          <w:tcPr>
            <w:tcW w:w="1656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D5BE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硫量大、风量不足、仪表故障</w:t>
            </w:r>
          </w:p>
        </w:tc>
        <w:tc>
          <w:tcPr>
            <w:tcW w:w="1561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4EC4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转化超温、尾气超标</w:t>
            </w:r>
          </w:p>
        </w:tc>
        <w:tc>
          <w:tcPr>
            <w:tcW w:w="1656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7626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SO₂在线分析、流量联锁</w:t>
            </w:r>
          </w:p>
        </w:tc>
        <w:tc>
          <w:tcPr>
            <w:tcW w:w="689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3D3C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1944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F31B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增设浓度高高联锁减硫；冗余分析仪</w:t>
            </w:r>
          </w:p>
        </w:tc>
      </w:tr>
    </w:tbl>
    <w:p w14:paraId="264B2E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4.3 干吸+HRS单元（N3）HAZOP分析</w:t>
      </w:r>
    </w:p>
    <w:p w14:paraId="5FF0AF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干吸为硫酸生成与循环系统，强腐蚀、高温、高压并存，高风险项为酸冷却器内漏、酸浓度异常、HRS锅炉泄漏、酸雾溢出。关键偏差分析见表3。</w:t>
      </w:r>
    </w:p>
    <w:p w14:paraId="6106D6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表3干吸+HRS单元HAZOP分析结果</w:t>
      </w:r>
    </w:p>
    <w:tbl>
      <w:tblPr>
        <w:tblStyle w:val="17"/>
        <w:tblW w:w="849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7"/>
        <w:gridCol w:w="1513"/>
        <w:gridCol w:w="1513"/>
        <w:gridCol w:w="1738"/>
        <w:gridCol w:w="705"/>
        <w:gridCol w:w="1972"/>
      </w:tblGrid>
      <w:tr w14:paraId="66D66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057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A856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偏差</w:t>
            </w:r>
          </w:p>
        </w:tc>
        <w:tc>
          <w:tcPr>
            <w:tcW w:w="1513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1EFD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原因</w:t>
            </w:r>
          </w:p>
        </w:tc>
        <w:tc>
          <w:tcPr>
            <w:tcW w:w="1513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76FE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后果</w:t>
            </w:r>
          </w:p>
        </w:tc>
        <w:tc>
          <w:tcPr>
            <w:tcW w:w="1738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51F4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现有措施</w:t>
            </w:r>
          </w:p>
        </w:tc>
        <w:tc>
          <w:tcPr>
            <w:tcW w:w="705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1F21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风险等级</w:t>
            </w:r>
          </w:p>
        </w:tc>
        <w:tc>
          <w:tcPr>
            <w:tcW w:w="1972" w:type="dxa"/>
            <w:tcBorders>
              <w:top w:val="single" w:color="auto" w:sz="12" w:space="0"/>
              <w:left w:val="single" w:color="CCCCCC" w:sz="4" w:space="0"/>
              <w:bottom w:val="single" w:color="auto" w:sz="8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30DE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18"/>
                <w:szCs w:val="18"/>
                <w:lang w:val="en-US" w:eastAsia="zh-CN" w:bidi="ar"/>
              </w:rPr>
              <w:t>建议措施</w:t>
            </w:r>
          </w:p>
        </w:tc>
      </w:tr>
      <w:tr w14:paraId="0F185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57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BA82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酸浓度过低</w:t>
            </w:r>
          </w:p>
        </w:tc>
        <w:tc>
          <w:tcPr>
            <w:tcW w:w="1513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AADA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加水过量、酸冷器内漏</w:t>
            </w:r>
          </w:p>
        </w:tc>
        <w:tc>
          <w:tcPr>
            <w:tcW w:w="1513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16C4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干燥差、酸雾、设备腐蚀</w:t>
            </w:r>
          </w:p>
        </w:tc>
        <w:tc>
          <w:tcPr>
            <w:tcW w:w="1738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0BC3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酸浓度在线、加水联锁</w:t>
            </w:r>
          </w:p>
        </w:tc>
        <w:tc>
          <w:tcPr>
            <w:tcW w:w="705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2903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1972" w:type="dxa"/>
            <w:tcBorders>
              <w:top w:val="single" w:color="auto" w:sz="8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5E6F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浓度低低联锁；循环水pH在线监测</w:t>
            </w:r>
          </w:p>
        </w:tc>
      </w:tr>
      <w:tr w14:paraId="48B42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5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54FF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酸温过高</w:t>
            </w:r>
          </w:p>
        </w:tc>
        <w:tc>
          <w:tcPr>
            <w:tcW w:w="151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C628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酸冷器故障、循环水不足</w:t>
            </w:r>
          </w:p>
        </w:tc>
        <w:tc>
          <w:tcPr>
            <w:tcW w:w="151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1752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吸收效率下降、腐蚀加速</w:t>
            </w:r>
          </w:p>
        </w:tc>
        <w:tc>
          <w:tcPr>
            <w:tcW w:w="1738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C922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酸温联锁、旁路调节</w:t>
            </w:r>
          </w:p>
        </w:tc>
        <w:tc>
          <w:tcPr>
            <w:tcW w:w="70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C8E8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197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FF35D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酸温高高联锁；循环水压力报警</w:t>
            </w:r>
          </w:p>
        </w:tc>
      </w:tr>
      <w:tr w14:paraId="48352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57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B551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HRS锅炉泄漏</w:t>
            </w:r>
          </w:p>
        </w:tc>
        <w:tc>
          <w:tcPr>
            <w:tcW w:w="151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414B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管束腐蚀、温差应力</w:t>
            </w:r>
          </w:p>
        </w:tc>
        <w:tc>
          <w:tcPr>
            <w:tcW w:w="1513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21DA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酸水污染蒸汽、设备损坏</w:t>
            </w:r>
          </w:p>
        </w:tc>
        <w:tc>
          <w:tcPr>
            <w:tcW w:w="1738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69DB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电导监测、pH检测、紧急停车</w:t>
            </w:r>
          </w:p>
        </w:tc>
        <w:tc>
          <w:tcPr>
            <w:tcW w:w="705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2435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C</w:t>
            </w:r>
          </w:p>
        </w:tc>
        <w:tc>
          <w:tcPr>
            <w:tcW w:w="1972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67A1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独立检漏程序；定期水压试验</w:t>
            </w:r>
          </w:p>
        </w:tc>
      </w:tr>
      <w:tr w14:paraId="34EBA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57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B6BD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循环酸槽液位高</w:t>
            </w:r>
          </w:p>
        </w:tc>
        <w:tc>
          <w:tcPr>
            <w:tcW w:w="1513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3705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串酸过量、产酸不畅</w:t>
            </w:r>
          </w:p>
        </w:tc>
        <w:tc>
          <w:tcPr>
            <w:tcW w:w="1513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CA5E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酸液溢出、灼伤、污染</w:t>
            </w:r>
          </w:p>
        </w:tc>
        <w:tc>
          <w:tcPr>
            <w:tcW w:w="1738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F5A3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液位联锁、排酸调节</w:t>
            </w:r>
          </w:p>
        </w:tc>
        <w:tc>
          <w:tcPr>
            <w:tcW w:w="705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25E0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D</w:t>
            </w:r>
          </w:p>
        </w:tc>
        <w:tc>
          <w:tcPr>
            <w:tcW w:w="1972" w:type="dxa"/>
            <w:tcBorders>
              <w:top w:val="single" w:color="CCCCCC" w:sz="4" w:space="0"/>
              <w:left w:val="single" w:color="CCCCCC" w:sz="4" w:space="0"/>
              <w:bottom w:val="single" w:color="auto" w:sz="12" w:space="0"/>
              <w:right w:val="single" w:color="CCCCCC" w:sz="4" w:space="0"/>
            </w:tcBorders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4664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"/>
              </w:rPr>
              <w:t>完善高液位联锁；增设溢流报警</w:t>
            </w:r>
          </w:p>
        </w:tc>
      </w:tr>
    </w:tbl>
    <w:p w14:paraId="7AE9E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4.4 公用工程单元（N4/N5）HAZOP分析</w:t>
      </w:r>
    </w:p>
    <w:p w14:paraId="4A4B7F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t>脱盐水与空压站为全装置运行保障，偏差主要表现为压力、流量、水质、气源异常，失效将引发系统停车。</w:t>
      </w:r>
    </w:p>
    <w:p w14:paraId="4C8C68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1）脱盐水：压力低、水质超标导致锅炉结垢腐蚀；措施：增设压力/电导报警、双泵备用、在线监测；</w:t>
      </w:r>
    </w:p>
    <w:p w14:paraId="385CC8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2）空压站：供气压力不足导致仪表失灵、阀门拒动；措施：压力高低报警、空压机联锁、备用机组。</w:t>
      </w:r>
    </w:p>
    <w:p w14:paraId="0EFE7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4.5 关键高风险场景汇总</w:t>
      </w:r>
    </w:p>
    <w:p w14:paraId="0E89C6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通过全流程HAZOP分析，识别出硫磺制酸装置十大高风险场景：</w:t>
      </w:r>
    </w:p>
    <w:p w14:paraId="3A3658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）液硫输送管道堵塞/泄漏着火；2）焚硫炉超温烧穿、升华硫堆积；3）转化器触媒超温烧结失活；4）余热锅炉缺水爆管；5）酸冷却器内漏导致循环水酸化；6）HRS锅炉酸泄漏污染蒸汽系统；7）循环酸浓度异常导致酸雾超标；8）SO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/酸雾大量泄漏引发中毒；9）有限空间作业中毒窒息；10）停电/停汽导致全装置失控。</w:t>
      </w:r>
    </w:p>
    <w:p w14:paraId="5D3F4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 风险控制与安全优化措施</w:t>
      </w:r>
    </w:p>
    <w:p w14:paraId="7DB9AB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基于HAZOP分析结果，遵循“消除—替代—工程控制—管理控制—个体防护”原则，从本质安全、工程设施、自控系统、操作管理、应急处置五方面提出系统优化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方案。</w:t>
      </w:r>
    </w:p>
    <w:p w14:paraId="09008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5.1 本质安全设计优化</w:t>
      </w:r>
    </w:p>
    <w:p w14:paraId="0CE707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1）工艺优化：采用密闭式硫磺输送、低氧燃烧、精准风硫比控制，减少升华硫生成；转化器分段换热、梯度控温，避免触媒超温；</w:t>
      </w:r>
    </w:p>
    <w:p w14:paraId="15A6E0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2）设备选材：酸系统采用316L、双相不锈钢，HRS锅炉、酸冷却器采用专用耐蚀材料；关键转动设备一用一备；</w:t>
      </w:r>
    </w:p>
    <w:p w14:paraId="7754F7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3）冗余配置：重要仪表、联锁、泵机组双重冗余；锅炉液位、温度双表监测，提高系统可靠性。</w:t>
      </w:r>
    </w:p>
    <w:p w14:paraId="6F9D6E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5.2 工程安全设施强化</w:t>
      </w:r>
    </w:p>
    <w:p w14:paraId="556B186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1）防火防爆：硫磺库、液硫区设置蒸汽灭火、干粉灭火、防火堤；SO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、可燃气体探测器全覆盖；</w:t>
      </w:r>
    </w:p>
    <w:p w14:paraId="58CC56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2）防腐蚀泄漏：酸管道法兰设置防溅罩、泄漏收集槽；酸冷却器设置循环水pH在线监测，内漏立即报警；</w:t>
      </w:r>
    </w:p>
    <w:p w14:paraId="0B7C89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3）应急设施：现场配置洗眼器、紧急冲淋、空气呼吸器、防酸服；关键区域设置事故存液池与酸性废水收集系统。</w:t>
      </w:r>
    </w:p>
    <w:p w14:paraId="1BAE25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5.3 自控与联锁系统完善</w:t>
      </w:r>
    </w:p>
    <w:p w14:paraId="0D0A4A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1）核心联锁优化：</w:t>
      </w:r>
    </w:p>
    <w:p w14:paraId="3F008D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焚硫炉：温度高高→停磺→停风机；</w:t>
      </w:r>
    </w:p>
    <w:p w14:paraId="4DE713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转化器：床层温度高高→降负荷→开旁路；</w:t>
      </w:r>
    </w:p>
    <w:p w14:paraId="4387E8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锅炉：液位低低→紧急停车；水位高高→关闭给水；</w:t>
      </w:r>
    </w:p>
    <w:p w14:paraId="6CCE414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HRS系统：酸浓度低低、电导高高→紧急停车→切断进水；</w:t>
      </w:r>
    </w:p>
    <w:p w14:paraId="60DBDB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2）在线监测全覆盖：SO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、O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、酸浓度、pH、电导、温度、压力全流程远传监测，超限声光报警；</w:t>
      </w:r>
    </w:p>
    <w:p w14:paraId="633BCA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3）FCS/DCS系统升级：增加趋势记录、联锁逻辑校验、紧急停车按钮，实行操作权限分级管理。</w:t>
      </w:r>
    </w:p>
    <w:p w14:paraId="3CC01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5.4 操作与检修管理规范</w:t>
      </w:r>
    </w:p>
    <w:p w14:paraId="7C2DD4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1）标准化操作：严格执行开车、停车、升降负荷规程，开车前烘炉、暖管、检漏；停车后氮气置换、酸系统钝化；</w:t>
      </w:r>
    </w:p>
    <w:p w14:paraId="410BF1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2）专项巡检：制定熔硫、焚硫转化、干吸、锅炉、循环水巡检路线，重点检查液硫管道、酸冷器、转化器、锅炉，建立设备状态台账；</w:t>
      </w:r>
    </w:p>
    <w:p w14:paraId="024F6B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3）检修安全管控：有限空间作业执行“先检测、后审批、再作业”，强制通风、连续监测；酸碱作业全程佩戴防酸防护用品。</w:t>
      </w:r>
    </w:p>
    <w:p w14:paraId="4611B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5.5应急处置体系建设</w:t>
      </w:r>
    </w:p>
    <w:p w14:paraId="2B2168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1）专项应急预案：编制液硫着火、酸泄漏、SO</w:t>
      </w:r>
      <w:r>
        <w:rPr>
          <w:rFonts w:hint="eastAsia" w:ascii="宋体" w:hAnsi="宋体" w:eastAsia="宋体" w:cs="宋体"/>
          <w:sz w:val="21"/>
          <w:szCs w:val="21"/>
          <w:vertAlign w:val="subscript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中毒、锅炉爆管、停电停汽专项预案，明确处置流程与职责；</w:t>
      </w:r>
    </w:p>
    <w:p w14:paraId="322366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2）应急物资保障：现场配备石灰、纯碱、堵漏工具、消防蒸汽、应急照明、抢修器材；</w:t>
      </w:r>
    </w:p>
    <w:p w14:paraId="1913FA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3）培训与演练：操作人员持证上岗，定期开展HAZOP风险告知与应急演练，提升事故处置能力。</w:t>
      </w:r>
    </w:p>
    <w:p w14:paraId="2EE9C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6 结论</w:t>
      </w:r>
    </w:p>
    <w:p w14:paraId="088354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）本文采用HAZOP方法对800kt/a硫磺制酸装置全流程、全节点开展系统性风险分析，共识别工艺偏差70余项，确定高风险项10项、中风险项40余项，覆盖熔硫、焚硫转化、干吸、锅炉、公用工程全单元，风险识别全面、针对性强；</w:t>
      </w:r>
    </w:p>
    <w:p w14:paraId="75A4FD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2）硫磺制酸装置高风险集中于液硫储运、焚硫炉、转化器、酸冷却器、HRS锅炉、余热锅炉六大关键设备，主要诱因是温度/液位/浓度/压力失控、设备腐蚀内漏、联锁保护不足、操作与检修失误；</w:t>
      </w:r>
    </w:p>
    <w:p w14:paraId="2D77B0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）现有安全措施可控制大部分中低风险，但高风险场景仍存在联锁不完善、监测手段不足、防腐措施不到位等短板；通过本质安全优化、工程设施强化、自控系统完善、操作管理规范、应急体系建设，可将风险降至可接受水平；</w:t>
      </w:r>
    </w:p>
    <w:p w14:paraId="0B12D1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4）HAZOP分析可有效识别硫磺制酸工艺系统性风险，是提升装置本质安全水平的核心技术手段，研究成果可为同类装置设计、运行、检修、安全标准化提供参考与支撑。</w:t>
      </w:r>
    </w:p>
    <w:p w14:paraId="1CA3AD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01A3B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参考文献</w:t>
      </w:r>
    </w:p>
    <w:p w14:paraId="67543A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[1]国家安全生产监督管理总局.AQ/T3043-2013化工建设项目安全设计管理导则[S].北京：煤炭工业出版社，2013.</w:t>
      </w:r>
    </w:p>
    <w:p w14:paraId="653F2B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[2]张鑫，王敏学，王晓晶.HAZOP分析在硫磺制酸工程中的应用[J].中国有色冶金，2013(5):30-32+41.</w:t>
      </w:r>
    </w:p>
    <w:p w14:paraId="1BFE73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[3]曲非。应用HAZOP分析技术，实现硫磺装置的本质安全[J].安全、健康和环境，2012,12(7):18-20.</w:t>
      </w:r>
    </w:p>
    <w:p w14:paraId="71AC41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[4]鲁凤，王凯.HAZOP在煤化工项目硫回收装置中的应用[J].肥料与健康，2016,43(2):45-49.</w:t>
      </w:r>
    </w:p>
    <w:p w14:paraId="01D84C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[5]中国石化安全工程研究院.HAZOP分析指南[M].北京：中国石化出版社，2008.</w:t>
      </w:r>
    </w:p>
    <w:p w14:paraId="121D5E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[6]贺永斌，白虎雄，杨茂勤。浅谈HAZOP分析在废硫酸裂解装置的应用[J].硫酸工业，2021(5):45-48.</w:t>
      </w:r>
    </w:p>
    <w:p w14:paraId="507B3D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[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宋体"/>
          <w:sz w:val="21"/>
          <w:szCs w:val="21"/>
        </w:rPr>
        <w:t>]全国化学标准化技术委员会.GB/T534-2014工业硫酸[S].北京：中国标准出版社，2014.</w:t>
      </w:r>
    </w:p>
    <w:p w14:paraId="7B3CC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</w:p>
    <w:sectPr>
      <w:pgSz w:w="11906" w:h="16838"/>
      <w:pgMar w:top="1814" w:right="1587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5ZmMwZTNkY2FjMjU1Y2Y4ZTlkNzhjNmI4MDEyNjcifQ=="/>
  </w:docVars>
  <w:rsids>
    <w:rsidRoot w:val="00DD4CC1"/>
    <w:rsid w:val="00036B5E"/>
    <w:rsid w:val="00047FC0"/>
    <w:rsid w:val="00060599"/>
    <w:rsid w:val="0008730F"/>
    <w:rsid w:val="000A4D30"/>
    <w:rsid w:val="001570A5"/>
    <w:rsid w:val="001653DA"/>
    <w:rsid w:val="00170655"/>
    <w:rsid w:val="001F16B8"/>
    <w:rsid w:val="001F268C"/>
    <w:rsid w:val="00205F95"/>
    <w:rsid w:val="00223CAE"/>
    <w:rsid w:val="00252BF1"/>
    <w:rsid w:val="00264F57"/>
    <w:rsid w:val="002A2FE8"/>
    <w:rsid w:val="002A6E7F"/>
    <w:rsid w:val="002D3AD9"/>
    <w:rsid w:val="0032324D"/>
    <w:rsid w:val="00326DED"/>
    <w:rsid w:val="00452666"/>
    <w:rsid w:val="0046021A"/>
    <w:rsid w:val="00472F07"/>
    <w:rsid w:val="00495E28"/>
    <w:rsid w:val="004A7308"/>
    <w:rsid w:val="004B658B"/>
    <w:rsid w:val="004E5974"/>
    <w:rsid w:val="004E639D"/>
    <w:rsid w:val="0052555F"/>
    <w:rsid w:val="00550EFD"/>
    <w:rsid w:val="005A641B"/>
    <w:rsid w:val="005B2031"/>
    <w:rsid w:val="006054C1"/>
    <w:rsid w:val="006278D9"/>
    <w:rsid w:val="006525A5"/>
    <w:rsid w:val="006B4EF3"/>
    <w:rsid w:val="006B523C"/>
    <w:rsid w:val="006C7D50"/>
    <w:rsid w:val="00704818"/>
    <w:rsid w:val="00735E72"/>
    <w:rsid w:val="00756BF6"/>
    <w:rsid w:val="007958E0"/>
    <w:rsid w:val="007A04D9"/>
    <w:rsid w:val="007C2153"/>
    <w:rsid w:val="007D0764"/>
    <w:rsid w:val="007F00BC"/>
    <w:rsid w:val="00844F2C"/>
    <w:rsid w:val="00852987"/>
    <w:rsid w:val="0087425D"/>
    <w:rsid w:val="00874940"/>
    <w:rsid w:val="009168ED"/>
    <w:rsid w:val="0093495B"/>
    <w:rsid w:val="0094356F"/>
    <w:rsid w:val="009819FE"/>
    <w:rsid w:val="00987F1F"/>
    <w:rsid w:val="00A0752B"/>
    <w:rsid w:val="00A1502F"/>
    <w:rsid w:val="00A3470B"/>
    <w:rsid w:val="00A633AE"/>
    <w:rsid w:val="00A81B9E"/>
    <w:rsid w:val="00AA011A"/>
    <w:rsid w:val="00AD6D59"/>
    <w:rsid w:val="00B05911"/>
    <w:rsid w:val="00B226D2"/>
    <w:rsid w:val="00B86F3C"/>
    <w:rsid w:val="00BD25C3"/>
    <w:rsid w:val="00BF5402"/>
    <w:rsid w:val="00C31229"/>
    <w:rsid w:val="00C76433"/>
    <w:rsid w:val="00CF58F8"/>
    <w:rsid w:val="00D203A8"/>
    <w:rsid w:val="00D36A6E"/>
    <w:rsid w:val="00D829F0"/>
    <w:rsid w:val="00DD4CC1"/>
    <w:rsid w:val="00DE0390"/>
    <w:rsid w:val="00DF0139"/>
    <w:rsid w:val="00E52C97"/>
    <w:rsid w:val="00E67BF2"/>
    <w:rsid w:val="00EC1DD6"/>
    <w:rsid w:val="00ED67A0"/>
    <w:rsid w:val="00F153FF"/>
    <w:rsid w:val="00F22786"/>
    <w:rsid w:val="00F834FB"/>
    <w:rsid w:val="00F9257D"/>
    <w:rsid w:val="00FB3EEC"/>
    <w:rsid w:val="00FD2258"/>
    <w:rsid w:val="01520363"/>
    <w:rsid w:val="01C963F3"/>
    <w:rsid w:val="01DE1C5C"/>
    <w:rsid w:val="02203B3A"/>
    <w:rsid w:val="02505589"/>
    <w:rsid w:val="02B86B51"/>
    <w:rsid w:val="03304250"/>
    <w:rsid w:val="0374238F"/>
    <w:rsid w:val="03A5079A"/>
    <w:rsid w:val="03C50E3C"/>
    <w:rsid w:val="03C527A5"/>
    <w:rsid w:val="048748A1"/>
    <w:rsid w:val="04CC1D57"/>
    <w:rsid w:val="04DC643E"/>
    <w:rsid w:val="056106F1"/>
    <w:rsid w:val="05AE130F"/>
    <w:rsid w:val="05FB3670"/>
    <w:rsid w:val="06112117"/>
    <w:rsid w:val="062077BC"/>
    <w:rsid w:val="065F10D4"/>
    <w:rsid w:val="0730481F"/>
    <w:rsid w:val="076E5F7E"/>
    <w:rsid w:val="07B471FE"/>
    <w:rsid w:val="07C05BA3"/>
    <w:rsid w:val="07E3246F"/>
    <w:rsid w:val="07F7358F"/>
    <w:rsid w:val="08564759"/>
    <w:rsid w:val="08BA0844"/>
    <w:rsid w:val="091A7E4E"/>
    <w:rsid w:val="09931095"/>
    <w:rsid w:val="09D516AE"/>
    <w:rsid w:val="09F00295"/>
    <w:rsid w:val="0A4B20AA"/>
    <w:rsid w:val="0AEE6ECB"/>
    <w:rsid w:val="0AFF2E86"/>
    <w:rsid w:val="0B664CB3"/>
    <w:rsid w:val="0B7A450E"/>
    <w:rsid w:val="0C0E77A3"/>
    <w:rsid w:val="0C2B45A8"/>
    <w:rsid w:val="0C580AA0"/>
    <w:rsid w:val="0C8E44C1"/>
    <w:rsid w:val="0CB33F28"/>
    <w:rsid w:val="0CDE6ACB"/>
    <w:rsid w:val="0CE82491"/>
    <w:rsid w:val="0CF56428"/>
    <w:rsid w:val="0D525F6F"/>
    <w:rsid w:val="0D731909"/>
    <w:rsid w:val="0DA11FD2"/>
    <w:rsid w:val="0E470192"/>
    <w:rsid w:val="0E5352AC"/>
    <w:rsid w:val="0E792F4F"/>
    <w:rsid w:val="0EC8358F"/>
    <w:rsid w:val="0F543075"/>
    <w:rsid w:val="0FEE51C5"/>
    <w:rsid w:val="0FEF171B"/>
    <w:rsid w:val="0FF00FEF"/>
    <w:rsid w:val="0FF705D0"/>
    <w:rsid w:val="102313C5"/>
    <w:rsid w:val="103C5A23"/>
    <w:rsid w:val="10523A58"/>
    <w:rsid w:val="10667503"/>
    <w:rsid w:val="108035FE"/>
    <w:rsid w:val="108F6A5A"/>
    <w:rsid w:val="10B85FB1"/>
    <w:rsid w:val="10BB15FD"/>
    <w:rsid w:val="10D34B99"/>
    <w:rsid w:val="111156C1"/>
    <w:rsid w:val="111B6540"/>
    <w:rsid w:val="11407D54"/>
    <w:rsid w:val="123F1DBA"/>
    <w:rsid w:val="12CF1390"/>
    <w:rsid w:val="12DB7D35"/>
    <w:rsid w:val="12E60488"/>
    <w:rsid w:val="13001868"/>
    <w:rsid w:val="132A2A6A"/>
    <w:rsid w:val="13CB5FFB"/>
    <w:rsid w:val="145D3907"/>
    <w:rsid w:val="148A7C64"/>
    <w:rsid w:val="14B4083D"/>
    <w:rsid w:val="156C2EC6"/>
    <w:rsid w:val="15C56B00"/>
    <w:rsid w:val="160057BA"/>
    <w:rsid w:val="16132CB9"/>
    <w:rsid w:val="16B20DAC"/>
    <w:rsid w:val="16B25250"/>
    <w:rsid w:val="16B8213B"/>
    <w:rsid w:val="16D2144F"/>
    <w:rsid w:val="17836BED"/>
    <w:rsid w:val="178C5AA1"/>
    <w:rsid w:val="17AD77C6"/>
    <w:rsid w:val="180933FC"/>
    <w:rsid w:val="185C6006"/>
    <w:rsid w:val="18616F2E"/>
    <w:rsid w:val="191221DB"/>
    <w:rsid w:val="19235F91"/>
    <w:rsid w:val="19800B64"/>
    <w:rsid w:val="19836A30"/>
    <w:rsid w:val="199944A6"/>
    <w:rsid w:val="19FD4A34"/>
    <w:rsid w:val="1A533F79"/>
    <w:rsid w:val="1A5A1E87"/>
    <w:rsid w:val="1B2F179A"/>
    <w:rsid w:val="1B6F3710"/>
    <w:rsid w:val="1C250273"/>
    <w:rsid w:val="1D01483C"/>
    <w:rsid w:val="1D3C3AC6"/>
    <w:rsid w:val="1D5D57EA"/>
    <w:rsid w:val="1E171E3D"/>
    <w:rsid w:val="1EBA2EF4"/>
    <w:rsid w:val="1EC41FC5"/>
    <w:rsid w:val="1EFE3E02"/>
    <w:rsid w:val="1F78690B"/>
    <w:rsid w:val="1FA40E26"/>
    <w:rsid w:val="20181E55"/>
    <w:rsid w:val="20200F8C"/>
    <w:rsid w:val="204B20BB"/>
    <w:rsid w:val="204F1D62"/>
    <w:rsid w:val="205C7FDB"/>
    <w:rsid w:val="20CA763A"/>
    <w:rsid w:val="21294361"/>
    <w:rsid w:val="21661758"/>
    <w:rsid w:val="217D7BC5"/>
    <w:rsid w:val="227635D6"/>
    <w:rsid w:val="22BA5BB9"/>
    <w:rsid w:val="230D784D"/>
    <w:rsid w:val="23B95F13"/>
    <w:rsid w:val="24174945"/>
    <w:rsid w:val="24212C83"/>
    <w:rsid w:val="244020ED"/>
    <w:rsid w:val="248B32E5"/>
    <w:rsid w:val="24B17D3C"/>
    <w:rsid w:val="24EE1B49"/>
    <w:rsid w:val="254479BB"/>
    <w:rsid w:val="25867FD4"/>
    <w:rsid w:val="259C77F7"/>
    <w:rsid w:val="262A3A04"/>
    <w:rsid w:val="26793695"/>
    <w:rsid w:val="269C7383"/>
    <w:rsid w:val="26B66697"/>
    <w:rsid w:val="273D46C2"/>
    <w:rsid w:val="27435A51"/>
    <w:rsid w:val="27466F3A"/>
    <w:rsid w:val="276F4A98"/>
    <w:rsid w:val="27936DC0"/>
    <w:rsid w:val="27D74B17"/>
    <w:rsid w:val="283B6E9A"/>
    <w:rsid w:val="28414686"/>
    <w:rsid w:val="287C746C"/>
    <w:rsid w:val="288D3427"/>
    <w:rsid w:val="28C3509B"/>
    <w:rsid w:val="28D44D60"/>
    <w:rsid w:val="29F55569"/>
    <w:rsid w:val="2A3049B2"/>
    <w:rsid w:val="2A6D1762"/>
    <w:rsid w:val="2A9C2048"/>
    <w:rsid w:val="2AD43590"/>
    <w:rsid w:val="2AF37C49"/>
    <w:rsid w:val="2B8D373E"/>
    <w:rsid w:val="2C1A3224"/>
    <w:rsid w:val="2C5F332D"/>
    <w:rsid w:val="2CDC497D"/>
    <w:rsid w:val="2DA03BFD"/>
    <w:rsid w:val="2DA336ED"/>
    <w:rsid w:val="2DD45655"/>
    <w:rsid w:val="2E7221A8"/>
    <w:rsid w:val="2EC67693"/>
    <w:rsid w:val="2EE30245"/>
    <w:rsid w:val="2F087CAC"/>
    <w:rsid w:val="2F0E4B96"/>
    <w:rsid w:val="2F1A353B"/>
    <w:rsid w:val="2F1F6DA3"/>
    <w:rsid w:val="2F397E65"/>
    <w:rsid w:val="2F620882"/>
    <w:rsid w:val="2F633134"/>
    <w:rsid w:val="2F882B9B"/>
    <w:rsid w:val="2FA86D99"/>
    <w:rsid w:val="312F3756"/>
    <w:rsid w:val="31496359"/>
    <w:rsid w:val="315A74EC"/>
    <w:rsid w:val="315E0057"/>
    <w:rsid w:val="318D4498"/>
    <w:rsid w:val="3199108F"/>
    <w:rsid w:val="319F16AA"/>
    <w:rsid w:val="31CC4FC0"/>
    <w:rsid w:val="31F167D5"/>
    <w:rsid w:val="3216448E"/>
    <w:rsid w:val="321D581C"/>
    <w:rsid w:val="323963CE"/>
    <w:rsid w:val="3273368E"/>
    <w:rsid w:val="32963820"/>
    <w:rsid w:val="32E20814"/>
    <w:rsid w:val="337771AE"/>
    <w:rsid w:val="33F94067"/>
    <w:rsid w:val="34086058"/>
    <w:rsid w:val="34480B4A"/>
    <w:rsid w:val="34821AD6"/>
    <w:rsid w:val="352B64A2"/>
    <w:rsid w:val="35A52FD0"/>
    <w:rsid w:val="35D501BC"/>
    <w:rsid w:val="36356EAC"/>
    <w:rsid w:val="36407D2B"/>
    <w:rsid w:val="36453593"/>
    <w:rsid w:val="36BE3BE8"/>
    <w:rsid w:val="36DA26A7"/>
    <w:rsid w:val="36DB5CA6"/>
    <w:rsid w:val="37227431"/>
    <w:rsid w:val="3756532C"/>
    <w:rsid w:val="37B01725"/>
    <w:rsid w:val="38061044"/>
    <w:rsid w:val="381C3783"/>
    <w:rsid w:val="389E342F"/>
    <w:rsid w:val="38C5276A"/>
    <w:rsid w:val="39783C80"/>
    <w:rsid w:val="399551B1"/>
    <w:rsid w:val="39D619B3"/>
    <w:rsid w:val="3A445910"/>
    <w:rsid w:val="3A557B1D"/>
    <w:rsid w:val="3A726921"/>
    <w:rsid w:val="3A765FE2"/>
    <w:rsid w:val="3B653D90"/>
    <w:rsid w:val="3B7D732B"/>
    <w:rsid w:val="3BAE3989"/>
    <w:rsid w:val="3BCC3E0F"/>
    <w:rsid w:val="3BD66A3C"/>
    <w:rsid w:val="3C424796"/>
    <w:rsid w:val="3CC044ED"/>
    <w:rsid w:val="3CC25530"/>
    <w:rsid w:val="3CC52D38"/>
    <w:rsid w:val="3CD13DD3"/>
    <w:rsid w:val="3D0715A3"/>
    <w:rsid w:val="3D670293"/>
    <w:rsid w:val="3DA212CB"/>
    <w:rsid w:val="3DBB238D"/>
    <w:rsid w:val="3DBD6105"/>
    <w:rsid w:val="3E4405D4"/>
    <w:rsid w:val="3E9C5D1B"/>
    <w:rsid w:val="3F375A43"/>
    <w:rsid w:val="3FA4757D"/>
    <w:rsid w:val="3FB6105E"/>
    <w:rsid w:val="3FE444E6"/>
    <w:rsid w:val="40583EC3"/>
    <w:rsid w:val="40642868"/>
    <w:rsid w:val="407A652F"/>
    <w:rsid w:val="40923879"/>
    <w:rsid w:val="410F592B"/>
    <w:rsid w:val="411424E0"/>
    <w:rsid w:val="41641264"/>
    <w:rsid w:val="41700BEB"/>
    <w:rsid w:val="426C3C56"/>
    <w:rsid w:val="42786A9F"/>
    <w:rsid w:val="42BC1743"/>
    <w:rsid w:val="42EE53FF"/>
    <w:rsid w:val="43E4263E"/>
    <w:rsid w:val="45554E75"/>
    <w:rsid w:val="459D60E3"/>
    <w:rsid w:val="45B70627"/>
    <w:rsid w:val="45CA5863"/>
    <w:rsid w:val="45E5444B"/>
    <w:rsid w:val="46362EF9"/>
    <w:rsid w:val="465515D1"/>
    <w:rsid w:val="468E4AE3"/>
    <w:rsid w:val="46F54E2D"/>
    <w:rsid w:val="46FD57C4"/>
    <w:rsid w:val="47925F0D"/>
    <w:rsid w:val="47A143DA"/>
    <w:rsid w:val="47E81E53"/>
    <w:rsid w:val="48733F90"/>
    <w:rsid w:val="489363E0"/>
    <w:rsid w:val="48A028AB"/>
    <w:rsid w:val="48B545A9"/>
    <w:rsid w:val="48FF75D2"/>
    <w:rsid w:val="495C0DBE"/>
    <w:rsid w:val="49CB1BAA"/>
    <w:rsid w:val="4A070E34"/>
    <w:rsid w:val="4A4F4589"/>
    <w:rsid w:val="4AB60164"/>
    <w:rsid w:val="4B8E06C7"/>
    <w:rsid w:val="4C934BC0"/>
    <w:rsid w:val="4CFB09F8"/>
    <w:rsid w:val="4D057181"/>
    <w:rsid w:val="4D447CA9"/>
    <w:rsid w:val="4D5123C6"/>
    <w:rsid w:val="4D6709C7"/>
    <w:rsid w:val="4D6B792C"/>
    <w:rsid w:val="4DA16EA9"/>
    <w:rsid w:val="4DDA060D"/>
    <w:rsid w:val="4DED1912"/>
    <w:rsid w:val="4E257ADB"/>
    <w:rsid w:val="4E353A96"/>
    <w:rsid w:val="4E726A98"/>
    <w:rsid w:val="4EAD187E"/>
    <w:rsid w:val="4EB175C0"/>
    <w:rsid w:val="4EB62E28"/>
    <w:rsid w:val="4F0911AA"/>
    <w:rsid w:val="4F78309C"/>
    <w:rsid w:val="4F7E394E"/>
    <w:rsid w:val="508D7BB9"/>
    <w:rsid w:val="50A20D13"/>
    <w:rsid w:val="50AD3DB7"/>
    <w:rsid w:val="50AF7B2F"/>
    <w:rsid w:val="50B02F71"/>
    <w:rsid w:val="50C26CF2"/>
    <w:rsid w:val="50EC0D83"/>
    <w:rsid w:val="50FE0CB7"/>
    <w:rsid w:val="512D188F"/>
    <w:rsid w:val="51363DAD"/>
    <w:rsid w:val="513B5867"/>
    <w:rsid w:val="5144673C"/>
    <w:rsid w:val="519D207E"/>
    <w:rsid w:val="51EC090F"/>
    <w:rsid w:val="51FB00AC"/>
    <w:rsid w:val="52E57838"/>
    <w:rsid w:val="542B3971"/>
    <w:rsid w:val="54335EE7"/>
    <w:rsid w:val="5463310B"/>
    <w:rsid w:val="54AF45A2"/>
    <w:rsid w:val="54C142D5"/>
    <w:rsid w:val="55254864"/>
    <w:rsid w:val="553C395C"/>
    <w:rsid w:val="55741347"/>
    <w:rsid w:val="55BA1450"/>
    <w:rsid w:val="55EB160A"/>
    <w:rsid w:val="56037691"/>
    <w:rsid w:val="56083D8A"/>
    <w:rsid w:val="56135E24"/>
    <w:rsid w:val="564017AC"/>
    <w:rsid w:val="567B0721"/>
    <w:rsid w:val="56F97D56"/>
    <w:rsid w:val="57081D47"/>
    <w:rsid w:val="57E97DCB"/>
    <w:rsid w:val="57EF1159"/>
    <w:rsid w:val="583059FA"/>
    <w:rsid w:val="5847689F"/>
    <w:rsid w:val="58532B2C"/>
    <w:rsid w:val="58984204"/>
    <w:rsid w:val="58C47EF0"/>
    <w:rsid w:val="59285798"/>
    <w:rsid w:val="596F60AE"/>
    <w:rsid w:val="5A2A0227"/>
    <w:rsid w:val="5A7B0A82"/>
    <w:rsid w:val="5B0311A3"/>
    <w:rsid w:val="5BB5218E"/>
    <w:rsid w:val="5BFE5E0F"/>
    <w:rsid w:val="5CAA564F"/>
    <w:rsid w:val="5DBC1ADE"/>
    <w:rsid w:val="5E361890"/>
    <w:rsid w:val="5EDA046D"/>
    <w:rsid w:val="5EE237C6"/>
    <w:rsid w:val="5EFF7ED4"/>
    <w:rsid w:val="5F7679C4"/>
    <w:rsid w:val="5F7F2DC3"/>
    <w:rsid w:val="5FBF1411"/>
    <w:rsid w:val="5FFC2665"/>
    <w:rsid w:val="601A09BC"/>
    <w:rsid w:val="60395667"/>
    <w:rsid w:val="60AA0313"/>
    <w:rsid w:val="610D33E8"/>
    <w:rsid w:val="615E35D8"/>
    <w:rsid w:val="619568CD"/>
    <w:rsid w:val="61E67129"/>
    <w:rsid w:val="621A5025"/>
    <w:rsid w:val="62CC27C3"/>
    <w:rsid w:val="635A7DCF"/>
    <w:rsid w:val="637D586B"/>
    <w:rsid w:val="63872EA4"/>
    <w:rsid w:val="63F26259"/>
    <w:rsid w:val="64061D04"/>
    <w:rsid w:val="640A365A"/>
    <w:rsid w:val="640E2967"/>
    <w:rsid w:val="64754794"/>
    <w:rsid w:val="64FD7B2B"/>
    <w:rsid w:val="656C3DE9"/>
    <w:rsid w:val="657B402C"/>
    <w:rsid w:val="65C07C91"/>
    <w:rsid w:val="66CA526B"/>
    <w:rsid w:val="67575201"/>
    <w:rsid w:val="67C12792"/>
    <w:rsid w:val="67DD0FCE"/>
    <w:rsid w:val="687436E1"/>
    <w:rsid w:val="687A681D"/>
    <w:rsid w:val="689B5B56"/>
    <w:rsid w:val="68D73C6F"/>
    <w:rsid w:val="690B56C7"/>
    <w:rsid w:val="696A4D66"/>
    <w:rsid w:val="69867965"/>
    <w:rsid w:val="699456BD"/>
    <w:rsid w:val="6A4E3ABD"/>
    <w:rsid w:val="6A9A31A7"/>
    <w:rsid w:val="6AD06BC8"/>
    <w:rsid w:val="6B3929BF"/>
    <w:rsid w:val="6B3D425E"/>
    <w:rsid w:val="6B431148"/>
    <w:rsid w:val="6B56531F"/>
    <w:rsid w:val="6B575C91"/>
    <w:rsid w:val="6BB8040C"/>
    <w:rsid w:val="6C5C6966"/>
    <w:rsid w:val="6C6E5E1A"/>
    <w:rsid w:val="6C8E2897"/>
    <w:rsid w:val="6CDF30F3"/>
    <w:rsid w:val="6D0B213A"/>
    <w:rsid w:val="6D282CEC"/>
    <w:rsid w:val="6D921E65"/>
    <w:rsid w:val="6DF606F4"/>
    <w:rsid w:val="6E267136"/>
    <w:rsid w:val="6E2D67FA"/>
    <w:rsid w:val="6E6E0BD2"/>
    <w:rsid w:val="6E91041D"/>
    <w:rsid w:val="6ECB392F"/>
    <w:rsid w:val="6F143527"/>
    <w:rsid w:val="6F562B93"/>
    <w:rsid w:val="6FA348AB"/>
    <w:rsid w:val="6FBB39A3"/>
    <w:rsid w:val="6FD23894"/>
    <w:rsid w:val="6FE23626"/>
    <w:rsid w:val="702275C0"/>
    <w:rsid w:val="70383246"/>
    <w:rsid w:val="703D260A"/>
    <w:rsid w:val="7060279C"/>
    <w:rsid w:val="70626FA0"/>
    <w:rsid w:val="70756EB2"/>
    <w:rsid w:val="71E13469"/>
    <w:rsid w:val="71E73078"/>
    <w:rsid w:val="7258197D"/>
    <w:rsid w:val="72C60FDD"/>
    <w:rsid w:val="72EB27F1"/>
    <w:rsid w:val="730241B0"/>
    <w:rsid w:val="731A1328"/>
    <w:rsid w:val="73587D13"/>
    <w:rsid w:val="743B50B2"/>
    <w:rsid w:val="74BF5CE3"/>
    <w:rsid w:val="750977D2"/>
    <w:rsid w:val="75263FB5"/>
    <w:rsid w:val="75693EA1"/>
    <w:rsid w:val="75B25848"/>
    <w:rsid w:val="766528BB"/>
    <w:rsid w:val="768F268A"/>
    <w:rsid w:val="76C92E49"/>
    <w:rsid w:val="77617526"/>
    <w:rsid w:val="777A05E8"/>
    <w:rsid w:val="781A1483"/>
    <w:rsid w:val="781F0851"/>
    <w:rsid w:val="7820118F"/>
    <w:rsid w:val="782A7918"/>
    <w:rsid w:val="78B00E0E"/>
    <w:rsid w:val="78C94F9D"/>
    <w:rsid w:val="78FD502C"/>
    <w:rsid w:val="796450AB"/>
    <w:rsid w:val="79C913B2"/>
    <w:rsid w:val="79EB30D7"/>
    <w:rsid w:val="7A293F0A"/>
    <w:rsid w:val="7A5E24AA"/>
    <w:rsid w:val="7ACB4CB6"/>
    <w:rsid w:val="7B02692A"/>
    <w:rsid w:val="7B486307"/>
    <w:rsid w:val="7B5B603A"/>
    <w:rsid w:val="7B5C744A"/>
    <w:rsid w:val="7BA55C3B"/>
    <w:rsid w:val="7BD858DD"/>
    <w:rsid w:val="7BE9361F"/>
    <w:rsid w:val="7C6B49A3"/>
    <w:rsid w:val="7C765821"/>
    <w:rsid w:val="7C856E44"/>
    <w:rsid w:val="7CA659DB"/>
    <w:rsid w:val="7CD24A22"/>
    <w:rsid w:val="7D366D5F"/>
    <w:rsid w:val="7DD722F0"/>
    <w:rsid w:val="7E32210A"/>
    <w:rsid w:val="7EB10D93"/>
    <w:rsid w:val="7EC87E8B"/>
    <w:rsid w:val="7EF70770"/>
    <w:rsid w:val="7F052E8D"/>
    <w:rsid w:val="7F270942"/>
    <w:rsid w:val="7F413799"/>
    <w:rsid w:val="7F480FCB"/>
    <w:rsid w:val="7F5D6825"/>
    <w:rsid w:val="7F671451"/>
    <w:rsid w:val="7F674918"/>
    <w:rsid w:val="7FB83A5B"/>
    <w:rsid w:val="7FBA3C77"/>
    <w:rsid w:val="7FEC7BA9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0"/>
    <w:qFormat/>
    <w:uiPriority w:val="0"/>
    <w:pPr>
      <w:keepNext/>
      <w:keepLines/>
      <w:spacing w:before="340" w:after="330" w:line="578" w:lineRule="auto"/>
      <w:outlineLvl w:val="0"/>
    </w:pPr>
    <w:rPr>
      <w:rFonts w:ascii="Calibri" w:hAnsi="Calibri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autoRedefine/>
    <w:unhideWhenUsed/>
    <w:qFormat/>
    <w:uiPriority w:val="9"/>
    <w:pPr>
      <w:keepNext/>
      <w:keepLines/>
      <w:widowControl/>
      <w:adjustRightInd w:val="0"/>
      <w:snapToGrid w:val="0"/>
      <w:spacing w:line="360" w:lineRule="auto"/>
      <w:jc w:val="left"/>
      <w:outlineLvl w:val="1"/>
    </w:pPr>
    <w:rPr>
      <w:rFonts w:ascii="宋体" w:hAnsi="宋体" w:eastAsia="宋体" w:cs="宋体"/>
      <w:b/>
      <w:bCs/>
      <w:kern w:val="0"/>
      <w:sz w:val="28"/>
      <w:szCs w:val="28"/>
    </w:rPr>
  </w:style>
  <w:style w:type="paragraph" w:styleId="4">
    <w:name w:val="heading 3"/>
    <w:basedOn w:val="1"/>
    <w:next w:val="1"/>
    <w:link w:val="25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6"/>
    <w:autoRedefine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7"/>
    <w:basedOn w:val="1"/>
    <w:next w:val="1"/>
    <w:unhideWhenUsed/>
    <w:qFormat/>
    <w:uiPriority w:val="0"/>
    <w:pPr>
      <w:keepNext/>
      <w:keepLines/>
      <w:spacing w:before="260" w:after="120" w:line="320" w:lineRule="auto"/>
      <w:outlineLvl w:val="6"/>
    </w:pPr>
    <w:rPr>
      <w:rFonts w:ascii="Times New Roman" w:hAnsi="Times New Roman" w:eastAsia="楷体" w:cstheme="minorBidi"/>
      <w:b/>
      <w:bCs/>
      <w:sz w:val="24"/>
      <w:szCs w:val="24"/>
    </w:rPr>
  </w:style>
  <w:style w:type="character" w:default="1" w:styleId="19">
    <w:name w:val="Default Paragraph Font"/>
    <w:autoRedefine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8">
    <w:name w:val="Body Text Indent"/>
    <w:basedOn w:val="1"/>
    <w:next w:val="9"/>
    <w:qFormat/>
    <w:uiPriority w:val="0"/>
    <w:pPr>
      <w:spacing w:after="120" w:afterLines="0" w:afterAutospacing="0"/>
      <w:ind w:left="420" w:leftChars="200"/>
    </w:pPr>
  </w:style>
  <w:style w:type="paragraph" w:customStyle="1" w:styleId="9">
    <w:name w:val="样式 正文文本缩进 + 行距: 1.5 倍行距"/>
    <w:basedOn w:val="1"/>
    <w:qFormat/>
    <w:uiPriority w:val="0"/>
    <w:pPr>
      <w:spacing w:after="120"/>
      <w:ind w:left="90" w:leftChars="32" w:firstLine="560"/>
    </w:pPr>
    <w:rPr>
      <w:rFonts w:cs="宋体"/>
    </w:rPr>
  </w:style>
  <w:style w:type="paragraph" w:styleId="10">
    <w:name w:val="footer"/>
    <w:basedOn w:val="1"/>
    <w:link w:val="2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Subtitle"/>
    <w:basedOn w:val="1"/>
    <w:next w:val="1"/>
    <w:link w:val="31"/>
    <w:autoRedefine/>
    <w:qFormat/>
    <w:uiPriority w:val="0"/>
    <w:pPr>
      <w:spacing w:line="400" w:lineRule="exact"/>
      <w:jc w:val="center"/>
    </w:pPr>
    <w:rPr>
      <w:rFonts w:ascii="Calibri" w:hAnsi="Calibri" w:eastAsia="楷体" w:cs="Times New Roman"/>
      <w:b/>
      <w:bCs/>
      <w:kern w:val="28"/>
      <w:szCs w:val="32"/>
    </w:rPr>
  </w:style>
  <w:style w:type="paragraph" w:styleId="1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4">
    <w:name w:val="Title"/>
    <w:basedOn w:val="5"/>
    <w:next w:val="1"/>
    <w:link w:val="27"/>
    <w:qFormat/>
    <w:uiPriority w:val="10"/>
    <w:pPr>
      <w:adjustRightInd w:val="0"/>
      <w:snapToGrid w:val="0"/>
      <w:spacing w:before="0" w:after="0" w:line="360" w:lineRule="auto"/>
      <w:jc w:val="center"/>
    </w:pPr>
    <w:rPr>
      <w:rFonts w:ascii="黑体" w:hAnsi="黑体" w:eastAsia="黑体" w:cs="黑体"/>
      <w:sz w:val="24"/>
      <w:szCs w:val="24"/>
    </w:rPr>
  </w:style>
  <w:style w:type="paragraph" w:styleId="15">
    <w:name w:val="Body Text First Indent"/>
    <w:basedOn w:val="7"/>
    <w:autoRedefine/>
    <w:qFormat/>
    <w:uiPriority w:val="0"/>
    <w:pPr>
      <w:ind w:firstLine="420" w:firstLineChars="100"/>
    </w:pPr>
  </w:style>
  <w:style w:type="paragraph" w:styleId="16">
    <w:name w:val="Body Text First Indent 2"/>
    <w:basedOn w:val="8"/>
    <w:next w:val="1"/>
    <w:qFormat/>
    <w:uiPriority w:val="0"/>
    <w:pPr>
      <w:ind w:firstLine="420" w:firstLineChars="200"/>
    </w:pPr>
  </w:style>
  <w:style w:type="table" w:styleId="18">
    <w:name w:val="Table Grid"/>
    <w:basedOn w:val="17"/>
    <w:autoRedefine/>
    <w:qFormat/>
    <w:uiPriority w:val="59"/>
    <w:rPr>
      <w:rFonts w:ascii="Calibri" w:hAnsi="Calibri" w:eastAsia="微软雅黑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paragraph" w:customStyle="1" w:styleId="22">
    <w:name w:val="0正文"/>
    <w:basedOn w:val="1"/>
    <w:qFormat/>
    <w:uiPriority w:val="0"/>
    <w:pPr>
      <w:ind w:firstLine="480" w:firstLineChars="200"/>
    </w:pPr>
  </w:style>
  <w:style w:type="character" w:customStyle="1" w:styleId="23">
    <w:name w:val="标题 2 字符"/>
    <w:basedOn w:val="19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4">
    <w:name w:val="标题 2 字符1"/>
    <w:link w:val="3"/>
    <w:autoRedefine/>
    <w:qFormat/>
    <w:uiPriority w:val="9"/>
    <w:rPr>
      <w:rFonts w:ascii="宋体" w:hAnsi="宋体" w:eastAsia="宋体" w:cs="宋体"/>
      <w:b/>
      <w:bCs/>
      <w:kern w:val="0"/>
      <w:sz w:val="28"/>
      <w:szCs w:val="28"/>
    </w:rPr>
  </w:style>
  <w:style w:type="character" w:customStyle="1" w:styleId="25">
    <w:name w:val="标题 3 字符"/>
    <w:basedOn w:val="19"/>
    <w:link w:val="4"/>
    <w:autoRedefine/>
    <w:semiHidden/>
    <w:qFormat/>
    <w:uiPriority w:val="9"/>
    <w:rPr>
      <w:b/>
      <w:bCs/>
      <w:sz w:val="32"/>
      <w:szCs w:val="32"/>
    </w:rPr>
  </w:style>
  <w:style w:type="character" w:customStyle="1" w:styleId="26">
    <w:name w:val="标题 4 字符"/>
    <w:basedOn w:val="19"/>
    <w:link w:val="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7">
    <w:name w:val="标题 字符"/>
    <w:basedOn w:val="19"/>
    <w:link w:val="14"/>
    <w:autoRedefine/>
    <w:qFormat/>
    <w:uiPriority w:val="10"/>
    <w:rPr>
      <w:rFonts w:ascii="黑体" w:hAnsi="黑体" w:eastAsia="黑体" w:cs="黑体"/>
      <w:b/>
      <w:bCs/>
      <w:sz w:val="24"/>
      <w:szCs w:val="24"/>
    </w:rPr>
  </w:style>
  <w:style w:type="character" w:customStyle="1" w:styleId="28">
    <w:name w:val="页眉 字符"/>
    <w:basedOn w:val="19"/>
    <w:link w:val="11"/>
    <w:autoRedefine/>
    <w:qFormat/>
    <w:uiPriority w:val="99"/>
    <w:rPr>
      <w:sz w:val="18"/>
      <w:szCs w:val="18"/>
    </w:rPr>
  </w:style>
  <w:style w:type="character" w:customStyle="1" w:styleId="29">
    <w:name w:val="页脚 字符"/>
    <w:basedOn w:val="19"/>
    <w:link w:val="10"/>
    <w:autoRedefine/>
    <w:qFormat/>
    <w:uiPriority w:val="99"/>
    <w:rPr>
      <w:sz w:val="18"/>
      <w:szCs w:val="18"/>
    </w:rPr>
  </w:style>
  <w:style w:type="character" w:customStyle="1" w:styleId="30">
    <w:name w:val="标题 1 字符"/>
    <w:basedOn w:val="19"/>
    <w:link w:val="2"/>
    <w:autoRedefine/>
    <w:qFormat/>
    <w:uiPriority w:val="0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31">
    <w:name w:val="副标题 字符"/>
    <w:basedOn w:val="19"/>
    <w:link w:val="12"/>
    <w:autoRedefine/>
    <w:qFormat/>
    <w:uiPriority w:val="0"/>
    <w:rPr>
      <w:rFonts w:ascii="Calibri" w:hAnsi="Calibri" w:eastAsia="楷体" w:cs="Times New Roman"/>
      <w:b/>
      <w:bCs/>
      <w:kern w:val="28"/>
      <w:szCs w:val="32"/>
    </w:rPr>
  </w:style>
  <w:style w:type="paragraph" w:styleId="3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3">
    <w:name w:val="普通(网站)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4">
    <w:name w:val="普通(网站) Char Char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35">
    <w:name w:val="+正文"/>
    <w:basedOn w:val="1"/>
    <w:qFormat/>
    <w:uiPriority w:val="99"/>
    <w:pPr>
      <w:spacing w:line="360" w:lineRule="auto"/>
      <w:ind w:firstLine="200" w:firstLineChars="200"/>
    </w:pPr>
    <w:rPr>
      <w:rFonts w:ascii="Times New Roman" w:hAnsi="Times New Roman" w:cs="Times New Roman"/>
      <w:sz w:val="24"/>
      <w:szCs w:val="24"/>
    </w:rPr>
  </w:style>
  <w:style w:type="paragraph" w:customStyle="1" w:styleId="36">
    <w:name w:val="表格内容"/>
    <w:basedOn w:val="1"/>
    <w:qFormat/>
    <w:uiPriority w:val="99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 w:cs="Times New Roman"/>
      <w:kern w:val="0"/>
    </w:rPr>
  </w:style>
  <w:style w:type="paragraph" w:customStyle="1" w:styleId="37">
    <w:name w:val="表格内容-居中"/>
    <w:basedOn w:val="1"/>
    <w:qFormat/>
    <w:uiPriority w:val="99"/>
    <w:pPr>
      <w:widowControl/>
      <w:overflowPunct w:val="0"/>
      <w:autoSpaceDE w:val="0"/>
      <w:autoSpaceDN w:val="0"/>
      <w:adjustRightInd w:val="0"/>
      <w:spacing w:before="40" w:after="40" w:line="300" w:lineRule="exact"/>
      <w:jc w:val="center"/>
      <w:textAlignment w:val="baseline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38">
    <w:name w:val="font3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bscript"/>
    </w:rPr>
  </w:style>
  <w:style w:type="character" w:customStyle="1" w:styleId="39">
    <w:name w:val="font2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character" w:customStyle="1" w:styleId="40">
    <w:name w:val="font4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  <w:vertAlign w:val="superscript"/>
    </w:rPr>
  </w:style>
  <w:style w:type="character" w:customStyle="1" w:styleId="41">
    <w:name w:val="font11"/>
    <w:basedOn w:val="19"/>
    <w:qFormat/>
    <w:uiPriority w:val="0"/>
    <w:rPr>
      <w:rFonts w:hint="eastAsia" w:ascii="华文楷体" w:hAnsi="华文楷体" w:eastAsia="华文楷体" w:cs="华文楷体"/>
      <w:color w:val="000000"/>
      <w:sz w:val="22"/>
      <w:szCs w:val="22"/>
      <w:u w:val="none"/>
    </w:rPr>
  </w:style>
  <w:style w:type="paragraph" w:customStyle="1" w:styleId="42">
    <w:name w:val="EndNote Bibliography"/>
    <w:basedOn w:val="1"/>
    <w:autoRedefine/>
    <w:qFormat/>
    <w:uiPriority w:val="0"/>
    <w:pPr>
      <w:ind w:firstLine="200" w:firstLineChars="200"/>
      <w:jc w:val="left"/>
    </w:pPr>
    <w:rPr>
      <w:sz w:val="20"/>
    </w:rPr>
  </w:style>
  <w:style w:type="paragraph" w:customStyle="1" w:styleId="43">
    <w:name w:val="列出段落1"/>
    <w:basedOn w:val="1"/>
    <w:qFormat/>
    <w:uiPriority w:val="34"/>
    <w:pPr>
      <w:ind w:firstLine="420" w:firstLineChars="200"/>
    </w:pPr>
  </w:style>
  <w:style w:type="paragraph" w:customStyle="1" w:styleId="44">
    <w:name w:val="正文文本1"/>
    <w:basedOn w:val="1"/>
    <w:qFormat/>
    <w:uiPriority w:val="0"/>
    <w:pPr>
      <w:shd w:val="clear" w:color="auto" w:fill="FFFFFF"/>
      <w:spacing w:line="610" w:lineRule="exact"/>
      <w:jc w:val="center"/>
    </w:pPr>
    <w:rPr>
      <w:rFonts w:ascii="宋体" w:hAnsi="宋体" w:eastAsia="宋体" w:cs="宋体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5445</Words>
  <Characters>6028</Characters>
  <Lines>35</Lines>
  <Paragraphs>9</Paragraphs>
  <TotalTime>52</TotalTime>
  <ScaleCrop>false</ScaleCrop>
  <LinksUpToDate>false</LinksUpToDate>
  <CharactersWithSpaces>6063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2022-09-27T07:43:00Z</dcterms:created>
  <dc:creator>Liao KangCheng</dc:creator>
  <cp:lastModifiedBy>白海丹</cp:lastModifiedBy>
  <dcterms:modified xsi:type="dcterms:W3CDTF">2026-05-27T03:46:09Z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012170A0420347A89154D3512890171D_12</vt:lpwstr>
  </property>
  <property fmtid="{D5CDD505-2E9C-101B-9397-08002B2CF9AE}" pid="4" name="KSOTemplateDocerSaveRecord">
    <vt:lpwstr>eyJoZGlkIjoiMDc5ZmMwZTNkY2FjMjU1Y2Y4ZTlkNzhjNmI4MDEyNjciLCJ1c2VySWQiOiI0NDQ3MDkxMjgifQ==</vt:lpwstr>
  </property>
</Properties>
</file>